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6925" w14:textId="13784DC1" w:rsidR="004F28CC" w:rsidRDefault="00FB39A8" w:rsidP="009C347D">
      <w:pPr>
        <w:pStyle w:val="BrevO1"/>
      </w:pPr>
      <w:r>
        <w:rPr>
          <w:noProof/>
          <w:lang w:eastAsia="da-DK"/>
        </w:rPr>
        <w:drawing>
          <wp:anchor distT="0" distB="0" distL="114300" distR="114300" simplePos="0" relativeHeight="251660288" behindDoc="1" locked="0" layoutInCell="1" allowOverlap="1" wp14:anchorId="55B62321" wp14:editId="476E9E53">
            <wp:simplePos x="0" y="0"/>
            <wp:positionH relativeFrom="rightMargin">
              <wp:posOffset>-381000</wp:posOffset>
            </wp:positionH>
            <wp:positionV relativeFrom="page">
              <wp:posOffset>283210</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59264" behindDoc="1" locked="0" layoutInCell="1" allowOverlap="1" wp14:anchorId="79BCC139" wp14:editId="594D9733">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61312" behindDoc="1" locked="0" layoutInCell="1" allowOverlap="1" wp14:anchorId="10AE6429" wp14:editId="0D452A33">
            <wp:simplePos x="0" y="0"/>
            <wp:positionH relativeFrom="page">
              <wp:align>center</wp:align>
            </wp:positionH>
            <wp:positionV relativeFrom="bottomMargin">
              <wp:posOffset>180340</wp:posOffset>
            </wp:positionV>
            <wp:extent cx="1882800" cy="302400"/>
            <wp:effectExtent l="0" t="0" r="3175" b="2540"/>
            <wp:wrapNone/>
            <wp:docPr id="3" name="Billede 3" descr="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4F28CC" w:rsidRPr="00E16EC9">
        <w:t>Skema til indgivelse af høringssvar</w:t>
      </w:r>
      <w:r w:rsidR="00022C56">
        <w:t xml:space="preserve"> fra MED udvalg Dagtilbud Midt</w:t>
      </w:r>
    </w:p>
    <w:tbl>
      <w:tblPr>
        <w:tblStyle w:val="Tabel-Gitter"/>
        <w:tblW w:w="5000" w:type="pct"/>
        <w:tblLook w:val="04A0" w:firstRow="1" w:lastRow="0" w:firstColumn="1" w:lastColumn="0" w:noHBand="0" w:noVBand="1"/>
      </w:tblPr>
      <w:tblGrid>
        <w:gridCol w:w="422"/>
        <w:gridCol w:w="6377"/>
        <w:gridCol w:w="6627"/>
      </w:tblGrid>
      <w:tr w:rsidR="008A5161" w14:paraId="43213E0B" w14:textId="77777777" w:rsidTr="008A5161">
        <w:tc>
          <w:tcPr>
            <w:tcW w:w="157" w:type="pct"/>
          </w:tcPr>
          <w:p w14:paraId="1DCBF0E2" w14:textId="77777777" w:rsidR="008A5161" w:rsidRPr="008A5161" w:rsidRDefault="008A5161" w:rsidP="00FE63E5">
            <w:pPr>
              <w:rPr>
                <w:b/>
                <w:bCs/>
              </w:rPr>
            </w:pPr>
          </w:p>
        </w:tc>
        <w:tc>
          <w:tcPr>
            <w:tcW w:w="2375" w:type="pct"/>
          </w:tcPr>
          <w:p w14:paraId="780E1173" w14:textId="3889E967" w:rsidR="008A5161" w:rsidRPr="008A5161" w:rsidRDefault="008A5161" w:rsidP="00FE63E5">
            <w:pPr>
              <w:rPr>
                <w:b/>
                <w:bCs/>
              </w:rPr>
            </w:pPr>
            <w:r w:rsidRPr="008A5161">
              <w:rPr>
                <w:b/>
                <w:bCs/>
              </w:rPr>
              <w:t xml:space="preserve">Politisk indstilling </w:t>
            </w:r>
          </w:p>
        </w:tc>
        <w:tc>
          <w:tcPr>
            <w:tcW w:w="2468" w:type="pct"/>
          </w:tcPr>
          <w:p w14:paraId="4EC05247" w14:textId="70BECC7D" w:rsidR="008A5161" w:rsidRPr="008A5161" w:rsidRDefault="00834FE2" w:rsidP="00FE63E5">
            <w:pPr>
              <w:rPr>
                <w:b/>
                <w:bCs/>
              </w:rPr>
            </w:pPr>
            <w:r>
              <w:rPr>
                <w:b/>
                <w:bCs/>
              </w:rPr>
              <w:t>Indsæt</w:t>
            </w:r>
            <w:r w:rsidR="008A5161">
              <w:rPr>
                <w:b/>
                <w:bCs/>
              </w:rPr>
              <w:t xml:space="preserve"> høringssvar </w:t>
            </w:r>
          </w:p>
        </w:tc>
      </w:tr>
      <w:tr w:rsidR="008A5161" w14:paraId="222817E3" w14:textId="77777777" w:rsidTr="008A5161">
        <w:tc>
          <w:tcPr>
            <w:tcW w:w="157" w:type="pct"/>
          </w:tcPr>
          <w:p w14:paraId="6AB7D2DD" w14:textId="16028BB8" w:rsidR="008A5161" w:rsidRDefault="008A5161" w:rsidP="008A5161">
            <w:r>
              <w:t>1</w:t>
            </w:r>
          </w:p>
        </w:tc>
        <w:tc>
          <w:tcPr>
            <w:tcW w:w="2375" w:type="pct"/>
          </w:tcPr>
          <w:p w14:paraId="11D2AD6D" w14:textId="77777777" w:rsidR="008A5161" w:rsidRDefault="008A5161" w:rsidP="008A5161">
            <w:pPr>
              <w:spacing w:line="256" w:lineRule="auto"/>
              <w:rPr>
                <w:lang w:eastAsia="da-DK"/>
              </w:rPr>
            </w:pPr>
            <w:r>
              <w:rPr>
                <w:lang w:eastAsia="da-DK"/>
              </w:rPr>
              <w:t>At tildelingsmodellen med følgende fire elementer indføres med virkning fra den 1. januar 2024:</w:t>
            </w:r>
          </w:p>
          <w:p w14:paraId="5A53F4CE" w14:textId="77777777" w:rsidR="008A5161" w:rsidRDefault="008A5161" w:rsidP="008A5161">
            <w:pPr>
              <w:pStyle w:val="Listeafsnit"/>
              <w:rPr>
                <w:lang w:eastAsia="da-DK"/>
              </w:rPr>
            </w:pPr>
          </w:p>
          <w:p w14:paraId="61E3643E" w14:textId="77777777" w:rsidR="008A5161" w:rsidRDefault="008A5161" w:rsidP="008A5161">
            <w:pPr>
              <w:pStyle w:val="Listeafsnit"/>
              <w:ind w:firstLine="584"/>
              <w:rPr>
                <w:lang w:eastAsia="da-DK"/>
              </w:rPr>
            </w:pPr>
            <w:r>
              <w:rPr>
                <w:lang w:eastAsia="da-DK"/>
              </w:rPr>
              <w:t>a. Grundtildeling (tildeling til minimumsnormeringer)</w:t>
            </w:r>
          </w:p>
          <w:p w14:paraId="6B897D75" w14:textId="77777777" w:rsidR="008A5161" w:rsidRDefault="008A5161" w:rsidP="008A5161">
            <w:pPr>
              <w:pStyle w:val="Listeafsnit"/>
              <w:ind w:firstLine="584"/>
              <w:rPr>
                <w:lang w:eastAsia="da-DK"/>
              </w:rPr>
            </w:pPr>
            <w:r>
              <w:rPr>
                <w:lang w:eastAsia="da-DK"/>
              </w:rPr>
              <w:t>b. Tildeling til tidlig indsats</w:t>
            </w:r>
          </w:p>
          <w:p w14:paraId="149ED0AA" w14:textId="77777777" w:rsidR="008A5161" w:rsidRDefault="008A5161" w:rsidP="008A5161">
            <w:pPr>
              <w:pStyle w:val="Listeafsnit"/>
              <w:ind w:firstLine="584"/>
              <w:rPr>
                <w:lang w:eastAsia="da-DK"/>
              </w:rPr>
            </w:pPr>
            <w:r>
              <w:rPr>
                <w:lang w:eastAsia="da-DK"/>
              </w:rPr>
              <w:t>c. Tildeling til ledelse og administration</w:t>
            </w:r>
          </w:p>
          <w:p w14:paraId="092401E0" w14:textId="77777777" w:rsidR="008A5161" w:rsidRDefault="008A5161" w:rsidP="00834FE2">
            <w:pPr>
              <w:pStyle w:val="Listeafsnit"/>
              <w:spacing w:after="0"/>
              <w:ind w:firstLine="584"/>
              <w:rPr>
                <w:lang w:eastAsia="da-DK"/>
              </w:rPr>
            </w:pPr>
            <w:r>
              <w:rPr>
                <w:lang w:eastAsia="da-DK"/>
              </w:rPr>
              <w:t>d. Tildeling til drift.</w:t>
            </w:r>
          </w:p>
          <w:p w14:paraId="6D55F413" w14:textId="0CDCAEA1" w:rsidR="00834FE2" w:rsidRDefault="00834FE2" w:rsidP="00834FE2">
            <w:pPr>
              <w:pStyle w:val="Listeafsnit"/>
              <w:spacing w:after="0"/>
              <w:ind w:firstLine="584"/>
              <w:rPr>
                <w:lang w:eastAsia="da-DK"/>
              </w:rPr>
            </w:pPr>
          </w:p>
        </w:tc>
        <w:tc>
          <w:tcPr>
            <w:tcW w:w="2468" w:type="pct"/>
          </w:tcPr>
          <w:p w14:paraId="7EA5CA19" w14:textId="04D220C6" w:rsidR="00EC7D5E" w:rsidRPr="00EC7D5E" w:rsidRDefault="00EC7D5E" w:rsidP="008A5161">
            <w:pPr>
              <w:rPr>
                <w:i/>
                <w:iCs/>
              </w:rPr>
            </w:pPr>
            <w:r w:rsidRPr="00EC7D5E">
              <w:rPr>
                <w:i/>
                <w:iCs/>
              </w:rPr>
              <w:t xml:space="preserve">I bedes angive, </w:t>
            </w:r>
            <w:r>
              <w:rPr>
                <w:i/>
                <w:iCs/>
              </w:rPr>
              <w:t>hvorvidt</w:t>
            </w:r>
            <w:r w:rsidRPr="00EC7D5E">
              <w:rPr>
                <w:i/>
                <w:iCs/>
              </w:rPr>
              <w:t xml:space="preserve"> I er enige i</w:t>
            </w:r>
            <w:r w:rsidR="00715E91">
              <w:rPr>
                <w:i/>
                <w:iCs/>
              </w:rPr>
              <w:t>,</w:t>
            </w:r>
            <w:r w:rsidRPr="00EC7D5E">
              <w:rPr>
                <w:i/>
                <w:iCs/>
              </w:rPr>
              <w:t xml:space="preserve"> at de fire elementer</w:t>
            </w:r>
            <w:r w:rsidR="00715E91">
              <w:rPr>
                <w:i/>
                <w:iCs/>
              </w:rPr>
              <w:t xml:space="preserve"> </w:t>
            </w:r>
            <w:r w:rsidRPr="00EC7D5E">
              <w:rPr>
                <w:i/>
                <w:iCs/>
              </w:rPr>
              <w:t>er dækkende</w:t>
            </w:r>
            <w:r w:rsidR="00715E91">
              <w:rPr>
                <w:i/>
                <w:iCs/>
              </w:rPr>
              <w:t xml:space="preserve"> for opbygningen</w:t>
            </w:r>
            <w:r w:rsidR="0080240A">
              <w:rPr>
                <w:i/>
                <w:iCs/>
              </w:rPr>
              <w:t xml:space="preserve"> af tildelingsmodellen</w:t>
            </w:r>
            <w:r w:rsidRPr="00EC7D5E">
              <w:rPr>
                <w:i/>
                <w:iCs/>
              </w:rPr>
              <w:t xml:space="preserve">: </w:t>
            </w:r>
          </w:p>
          <w:p w14:paraId="714BC97A" w14:textId="1EDC3CFB" w:rsidR="00EC7D5E" w:rsidRDefault="005A4CC8" w:rsidP="008A5161">
            <w:r>
              <w:t xml:space="preserve">Enig i at tildelingsmodellen indeholder grundtildeling, tildeling til tidlig indsats, tildeling til ledelse og administration, tildeling til drift. </w:t>
            </w:r>
          </w:p>
          <w:p w14:paraId="15817311" w14:textId="50868A9E" w:rsidR="009F3531" w:rsidRDefault="00022C56" w:rsidP="008A5161">
            <w:r>
              <w:t>Vi</w:t>
            </w:r>
            <w:r w:rsidR="005A4CC8">
              <w:t xml:space="preserve"> har dog følgende kommentarer ift. tildeling til drift, der mangler et vigtigt element,</w:t>
            </w:r>
            <w:r>
              <w:t xml:space="preserve"> – ejendomsservice, da vi</w:t>
            </w:r>
            <w:r w:rsidR="009F3531">
              <w:t xml:space="preserve"> stadig har udgifter til løbende vedligehold af bygninger og udearealer som e</w:t>
            </w:r>
            <w:r w:rsidR="0059731B">
              <w:t xml:space="preserve">jendomsservice ikke dækker. At det kun er selvejende institutioner der </w:t>
            </w:r>
            <w:r>
              <w:t>kompenseres,</w:t>
            </w:r>
            <w:r w:rsidR="0059731B">
              <w:t xml:space="preserve"> </w:t>
            </w:r>
            <w:r w:rsidR="005A4CC8">
              <w:t xml:space="preserve">mener vi giver en skævvridning. Et eksempel fra virkeligheden er at fra </w:t>
            </w:r>
            <w:r w:rsidR="0059731B">
              <w:t>Jan-</w:t>
            </w:r>
            <w:proofErr w:type="spellStart"/>
            <w:r w:rsidR="0059731B">
              <w:t>aug</w:t>
            </w:r>
            <w:proofErr w:type="spellEnd"/>
            <w:r w:rsidR="0059731B">
              <w:t xml:space="preserve"> 2023 har DTM brugt 265.000 kr. på div vedligehold af bygn</w:t>
            </w:r>
            <w:r>
              <w:t xml:space="preserve">inger </w:t>
            </w:r>
            <w:r w:rsidR="0059731B">
              <w:t>og udea</w:t>
            </w:r>
            <w:r w:rsidR="00D57F6C">
              <w:t>rea</w:t>
            </w:r>
            <w:r w:rsidR="0059731B">
              <w:t>ler</w:t>
            </w:r>
            <w:r w:rsidR="00F10DF7">
              <w:t>/afledte udgifter som vi mener der skal være budget til.</w:t>
            </w:r>
          </w:p>
        </w:tc>
      </w:tr>
      <w:tr w:rsidR="008A5161" w14:paraId="0C5CE394" w14:textId="77777777" w:rsidTr="008A5161">
        <w:tc>
          <w:tcPr>
            <w:tcW w:w="157" w:type="pct"/>
          </w:tcPr>
          <w:p w14:paraId="01EBD280" w14:textId="7AB6D726" w:rsidR="008A5161" w:rsidRDefault="008A5161" w:rsidP="008A5161">
            <w:r>
              <w:t>2</w:t>
            </w:r>
          </w:p>
        </w:tc>
        <w:tc>
          <w:tcPr>
            <w:tcW w:w="2375" w:type="pct"/>
          </w:tcPr>
          <w:p w14:paraId="658F24A6" w14:textId="4568A85F" w:rsidR="00834FE2" w:rsidRPr="00BF56F6" w:rsidRDefault="008A5161" w:rsidP="00834FE2">
            <w:pPr>
              <w:pStyle w:val="Listeafsnit"/>
              <w:ind w:left="0" w:firstLine="584"/>
              <w:jc w:val="both"/>
              <w:rPr>
                <w:b/>
                <w:bCs/>
                <w:lang w:eastAsia="da-DK"/>
              </w:rPr>
            </w:pPr>
            <w:r w:rsidRPr="00BF56F6">
              <w:rPr>
                <w:b/>
                <w:bCs/>
                <w:lang w:eastAsia="da-DK"/>
              </w:rPr>
              <w:t>Indstilling vedrørende grundtildeling:</w:t>
            </w:r>
          </w:p>
          <w:p w14:paraId="588DF0C9" w14:textId="77777777" w:rsidR="00834FE2" w:rsidRDefault="00834FE2" w:rsidP="00834FE2">
            <w:pPr>
              <w:pStyle w:val="Listeafsnit"/>
              <w:ind w:left="0" w:firstLine="584"/>
              <w:jc w:val="both"/>
              <w:rPr>
                <w:lang w:eastAsia="da-DK"/>
              </w:rPr>
            </w:pPr>
          </w:p>
          <w:p w14:paraId="7FA50FC1" w14:textId="77777777" w:rsidR="008A5161" w:rsidRDefault="008A5161" w:rsidP="00834FE2">
            <w:pPr>
              <w:pStyle w:val="Listeafsnit"/>
              <w:spacing w:after="0"/>
              <w:ind w:left="0"/>
              <w:jc w:val="both"/>
              <w:rPr>
                <w:lang w:eastAsia="da-DK"/>
              </w:rPr>
            </w:pPr>
            <w:r>
              <w:rPr>
                <w:lang w:eastAsia="da-DK"/>
              </w:rPr>
              <w:t>At der i grundtildelingen indføres en minimumstildeling svarende til 20 enheder (1 børnehavebarn = 1 enhed, 1 vuggestuebarn = 2 enheder). Minimumstildelingen har til formål at understøtte udmøntningen af minimumsnormeringer på institutionsniveau i små institutioner med under 20 enheder.</w:t>
            </w:r>
          </w:p>
          <w:p w14:paraId="77292898" w14:textId="3AF90E44" w:rsidR="00675B29" w:rsidRDefault="00675B29" w:rsidP="00834FE2">
            <w:pPr>
              <w:pStyle w:val="Listeafsnit"/>
              <w:spacing w:after="0"/>
              <w:ind w:left="0"/>
              <w:jc w:val="both"/>
            </w:pPr>
          </w:p>
        </w:tc>
        <w:tc>
          <w:tcPr>
            <w:tcW w:w="2468" w:type="pct"/>
          </w:tcPr>
          <w:p w14:paraId="38241601" w14:textId="77777777" w:rsidR="008A5161" w:rsidRDefault="00EC7D5E" w:rsidP="008A5161">
            <w:pPr>
              <w:rPr>
                <w:i/>
                <w:iCs/>
              </w:rPr>
            </w:pPr>
            <w:r w:rsidRPr="00EC7D5E">
              <w:rPr>
                <w:i/>
                <w:iCs/>
              </w:rPr>
              <w:t>I bedes angive</w:t>
            </w:r>
            <w:r>
              <w:rPr>
                <w:i/>
                <w:iCs/>
              </w:rPr>
              <w:t>, hvorvidt</w:t>
            </w:r>
            <w:r w:rsidRPr="00EC7D5E">
              <w:rPr>
                <w:i/>
                <w:iCs/>
              </w:rPr>
              <w:t xml:space="preserve"> </w:t>
            </w:r>
            <w:r>
              <w:rPr>
                <w:i/>
                <w:iCs/>
              </w:rPr>
              <w:t>I</w:t>
            </w:r>
            <w:r w:rsidRPr="00EC7D5E">
              <w:rPr>
                <w:i/>
                <w:iCs/>
              </w:rPr>
              <w:t xml:space="preserve"> er enige i en minimumstildeling svarende til 20 enheder:</w:t>
            </w:r>
          </w:p>
          <w:p w14:paraId="7FC85DE7" w14:textId="77777777" w:rsidR="0059731B" w:rsidRDefault="0059731B" w:rsidP="008A5161"/>
          <w:p w14:paraId="66C3FC83" w14:textId="77777777" w:rsidR="005A4CC8" w:rsidRDefault="0059731B" w:rsidP="008A5161">
            <w:r>
              <w:t xml:space="preserve">Fint </w:t>
            </w:r>
            <w:r w:rsidR="00F10DF7">
              <w:t xml:space="preserve">at </w:t>
            </w:r>
            <w:r>
              <w:t>holde hånd under små institutioner, men det er dilemmafyldt</w:t>
            </w:r>
            <w:r w:rsidR="00F10DF7">
              <w:t xml:space="preserve"> og meget sårbart. </w:t>
            </w:r>
          </w:p>
          <w:p w14:paraId="4F45D0B9" w14:textId="77777777" w:rsidR="005A4CC8" w:rsidRDefault="005A4CC8" w:rsidP="008A5161">
            <w:r>
              <w:t xml:space="preserve">Hos os opstår følgende spørgsmål - </w:t>
            </w:r>
            <w:r w:rsidR="0059731B">
              <w:t>Hvad er kvaliteten i små institutioner? Trækker de for meget økonomi</w:t>
            </w:r>
            <w:r>
              <w:t>,</w:t>
            </w:r>
            <w:r w:rsidR="0059731B">
              <w:t xml:space="preserve"> som reelt burde være, hvor børnene er? </w:t>
            </w:r>
          </w:p>
          <w:p w14:paraId="010733DA" w14:textId="5FDDD08C" w:rsidR="0059731B" w:rsidRPr="0059731B" w:rsidRDefault="005A4CC8" w:rsidP="008A5161">
            <w:r>
              <w:t>Et perspektiv fra MED er at h</w:t>
            </w:r>
            <w:r w:rsidR="0059731B">
              <w:t xml:space="preserve">ænder og </w:t>
            </w:r>
            <w:r>
              <w:t>økonomi</w:t>
            </w:r>
            <w:r w:rsidR="0059731B">
              <w:t xml:space="preserve"> burde være hvor børnene er</w:t>
            </w:r>
            <w:r>
              <w:t>.</w:t>
            </w:r>
          </w:p>
        </w:tc>
      </w:tr>
      <w:tr w:rsidR="008A5161" w14:paraId="29908E78" w14:textId="77777777" w:rsidTr="008A5161">
        <w:tc>
          <w:tcPr>
            <w:tcW w:w="157" w:type="pct"/>
          </w:tcPr>
          <w:p w14:paraId="7A733219" w14:textId="5368CDAE" w:rsidR="008A5161" w:rsidRDefault="008A5161" w:rsidP="008A5161">
            <w:r>
              <w:t>3</w:t>
            </w:r>
          </w:p>
        </w:tc>
        <w:tc>
          <w:tcPr>
            <w:tcW w:w="2375" w:type="pct"/>
          </w:tcPr>
          <w:p w14:paraId="4EDDC287" w14:textId="120D8F87" w:rsidR="008A5161" w:rsidRPr="00BF56F6" w:rsidRDefault="008A5161" w:rsidP="00834FE2">
            <w:pPr>
              <w:pStyle w:val="Listeafsnit"/>
              <w:spacing w:after="0"/>
              <w:rPr>
                <w:b/>
                <w:bCs/>
                <w:lang w:eastAsia="da-DK"/>
              </w:rPr>
            </w:pPr>
            <w:r w:rsidRPr="00BF56F6">
              <w:rPr>
                <w:b/>
                <w:bCs/>
                <w:lang w:eastAsia="da-DK"/>
              </w:rPr>
              <w:t>Indstilling vedrørende tildeling til tidlig indsats:</w:t>
            </w:r>
          </w:p>
          <w:p w14:paraId="16C2B445" w14:textId="77777777" w:rsidR="00834FE2" w:rsidRDefault="00834FE2" w:rsidP="00834FE2">
            <w:pPr>
              <w:rPr>
                <w:lang w:eastAsia="da-DK"/>
              </w:rPr>
            </w:pPr>
          </w:p>
          <w:p w14:paraId="4D9CA318" w14:textId="65916AFF" w:rsidR="008A5161" w:rsidRDefault="008A5161" w:rsidP="00834FE2">
            <w:pPr>
              <w:rPr>
                <w:lang w:eastAsia="da-DK"/>
              </w:rPr>
            </w:pPr>
            <w:r>
              <w:rPr>
                <w:lang w:eastAsia="da-DK"/>
              </w:rPr>
              <w:t>At der besluttes en model for tildeling til tidlig indsats:</w:t>
            </w:r>
          </w:p>
          <w:p w14:paraId="112FB213" w14:textId="77777777" w:rsidR="008A5161" w:rsidRDefault="008A5161" w:rsidP="008A5161">
            <w:pPr>
              <w:pStyle w:val="Listeafsnit"/>
              <w:ind w:left="0" w:firstLine="584"/>
              <w:rPr>
                <w:lang w:eastAsia="da-DK"/>
              </w:rPr>
            </w:pPr>
          </w:p>
          <w:p w14:paraId="123CF623" w14:textId="0C68B36F" w:rsidR="008A5161" w:rsidRDefault="008A5161" w:rsidP="00834FE2">
            <w:pPr>
              <w:pStyle w:val="Listeafsnit"/>
              <w:numPr>
                <w:ilvl w:val="0"/>
                <w:numId w:val="11"/>
              </w:numPr>
              <w:rPr>
                <w:lang w:eastAsia="da-DK"/>
              </w:rPr>
            </w:pPr>
            <w:r>
              <w:rPr>
                <w:lang w:eastAsia="da-DK"/>
              </w:rPr>
              <w:t>Tildelingsmodellen tildeler midler til tidlig indsats med afsæt i en opdateret socioøkonomisk fordelingsnøgle, eller</w:t>
            </w:r>
          </w:p>
          <w:p w14:paraId="4BD02D5A" w14:textId="77777777" w:rsidR="00834FE2" w:rsidRDefault="00834FE2" w:rsidP="00834FE2">
            <w:pPr>
              <w:pStyle w:val="Listeafsnit"/>
              <w:ind w:left="944"/>
              <w:rPr>
                <w:lang w:eastAsia="da-DK"/>
              </w:rPr>
            </w:pPr>
          </w:p>
          <w:p w14:paraId="134981F6" w14:textId="060B70FE" w:rsidR="008A5161" w:rsidRDefault="008A5161" w:rsidP="00675B29">
            <w:pPr>
              <w:pStyle w:val="Listeafsnit"/>
              <w:numPr>
                <w:ilvl w:val="0"/>
                <w:numId w:val="11"/>
              </w:numPr>
              <w:spacing w:after="0"/>
              <w:rPr>
                <w:lang w:eastAsia="da-DK"/>
              </w:rPr>
            </w:pPr>
            <w:r>
              <w:rPr>
                <w:lang w:eastAsia="da-DK"/>
              </w:rPr>
              <w:t>Tildelingsmodellen tildeler midler til tidlig indsats med afsæt i en faglig vurdering.</w:t>
            </w:r>
          </w:p>
          <w:p w14:paraId="7FFA83B5" w14:textId="77777777" w:rsidR="00675B29" w:rsidRDefault="00675B29" w:rsidP="00675B29">
            <w:pPr>
              <w:pStyle w:val="Listeafsnit"/>
              <w:rPr>
                <w:lang w:eastAsia="da-DK"/>
              </w:rPr>
            </w:pPr>
          </w:p>
          <w:p w14:paraId="62934CC7" w14:textId="2949E7AC" w:rsidR="00675B29" w:rsidRDefault="00675B29" w:rsidP="00675B29">
            <w:pPr>
              <w:pStyle w:val="Listeafsnit"/>
              <w:spacing w:after="0"/>
              <w:ind w:left="944"/>
              <w:rPr>
                <w:lang w:eastAsia="da-DK"/>
              </w:rPr>
            </w:pPr>
          </w:p>
        </w:tc>
        <w:tc>
          <w:tcPr>
            <w:tcW w:w="2468" w:type="pct"/>
          </w:tcPr>
          <w:p w14:paraId="6040AD2B" w14:textId="77777777" w:rsidR="008A5161" w:rsidRDefault="00EC7D5E" w:rsidP="008A5161">
            <w:pPr>
              <w:rPr>
                <w:i/>
                <w:iCs/>
              </w:rPr>
            </w:pPr>
            <w:r w:rsidRPr="00EC7D5E">
              <w:rPr>
                <w:i/>
                <w:iCs/>
              </w:rPr>
              <w:lastRenderedPageBreak/>
              <w:t>I bedes angive</w:t>
            </w:r>
            <w:r>
              <w:rPr>
                <w:i/>
                <w:iCs/>
              </w:rPr>
              <w:t xml:space="preserve">, hvorvidt I er enige i model a, b, eller en tredje model: </w:t>
            </w:r>
          </w:p>
          <w:p w14:paraId="355EA20C" w14:textId="77777777" w:rsidR="004120D6" w:rsidRDefault="004120D6" w:rsidP="008A5161"/>
          <w:p w14:paraId="51274EF5" w14:textId="2655F792" w:rsidR="004120D6" w:rsidRDefault="004120D6" w:rsidP="008A5161">
            <w:r>
              <w:t>A = det vi kender i dag. Vi kan se hvad der bliver fordelt efter.</w:t>
            </w:r>
            <w:r w:rsidR="00F10DF7">
              <w:t xml:space="preserve"> Det vil tage udgangspunkt i data.</w:t>
            </w:r>
            <w:r w:rsidR="00AF59BB">
              <w:t xml:space="preserve"> Det forbehold der kan være er at data skal være nyeste tal, ikke fra 2012.</w:t>
            </w:r>
          </w:p>
          <w:p w14:paraId="614B92CF" w14:textId="3F747C06" w:rsidR="004120D6" w:rsidRDefault="004120D6" w:rsidP="008A5161">
            <w:r>
              <w:t xml:space="preserve">B = faglig vurdering – hvad går den faglige vurdering på? Hvem kommer til at lave den faglige vurdering? Hvem skal tage afgørelsen? Gælder </w:t>
            </w:r>
            <w:r>
              <w:lastRenderedPageBreak/>
              <w:t xml:space="preserve">det om at komme først? Hvor lang tid er der til hjælp </w:t>
            </w:r>
            <w:proofErr w:type="spellStart"/>
            <w:r>
              <w:t>pga</w:t>
            </w:r>
            <w:proofErr w:type="spellEnd"/>
            <w:r>
              <w:t xml:space="preserve"> igennem lang </w:t>
            </w:r>
            <w:r w:rsidR="00F10DF7">
              <w:t>proces</w:t>
            </w:r>
            <w:r>
              <w:t>? Bekymring for lang behandlingstid. Vil kræve større administration, flere visitationer, svært at få PPR ud.</w:t>
            </w:r>
            <w:r w:rsidR="005A4CC8">
              <w:t xml:space="preserve"> Går dette hånd i hånd med afbureaukratisering, vi tror det vil give mere arbejde væk fra børnene.</w:t>
            </w:r>
          </w:p>
          <w:p w14:paraId="02CB011C" w14:textId="40F6530F" w:rsidR="004120D6" w:rsidRDefault="004120D6" w:rsidP="008A5161"/>
          <w:p w14:paraId="44DD2FA8" w14:textId="4338B27E" w:rsidR="004120D6" w:rsidRDefault="004120D6" w:rsidP="008A5161">
            <w:r>
              <w:t>Meget bedre gå med ren</w:t>
            </w:r>
            <w:r w:rsidR="009F2506">
              <w:t>,</w:t>
            </w:r>
            <w:r>
              <w:t xml:space="preserve"> data som i dag. Helt klart data, som kan dokumentere behovet.</w:t>
            </w:r>
          </w:p>
          <w:p w14:paraId="16728E42" w14:textId="704AE554" w:rsidR="004120D6" w:rsidRDefault="004120D6" w:rsidP="008A5161">
            <w:r>
              <w:t>Går fra decentral styring til central styring</w:t>
            </w:r>
          </w:p>
          <w:p w14:paraId="47F5537C" w14:textId="5653A0C5" w:rsidR="004120D6" w:rsidRPr="004120D6" w:rsidRDefault="004120D6" w:rsidP="008A5161"/>
        </w:tc>
      </w:tr>
      <w:tr w:rsidR="008A5161" w14:paraId="02AF7CF7" w14:textId="77777777" w:rsidTr="008A5161">
        <w:tc>
          <w:tcPr>
            <w:tcW w:w="157" w:type="pct"/>
          </w:tcPr>
          <w:p w14:paraId="676B2F4D" w14:textId="76A7763B" w:rsidR="008A5161" w:rsidRDefault="008A5161" w:rsidP="008A5161">
            <w:r>
              <w:lastRenderedPageBreak/>
              <w:t>4</w:t>
            </w:r>
          </w:p>
        </w:tc>
        <w:tc>
          <w:tcPr>
            <w:tcW w:w="2375" w:type="pct"/>
          </w:tcPr>
          <w:p w14:paraId="456FF9EA" w14:textId="0032610A" w:rsidR="008A5161" w:rsidRPr="00BF56F6" w:rsidRDefault="008A5161" w:rsidP="00834FE2">
            <w:pPr>
              <w:pStyle w:val="Listeafsnit"/>
              <w:spacing w:after="0"/>
              <w:rPr>
                <w:b/>
                <w:bCs/>
                <w:lang w:eastAsia="da-DK"/>
              </w:rPr>
            </w:pPr>
            <w:r w:rsidRPr="00BF56F6">
              <w:rPr>
                <w:b/>
                <w:bCs/>
                <w:lang w:eastAsia="da-DK"/>
              </w:rPr>
              <w:t>Indstilling vedrørende tildeling til ledelse og administration:</w:t>
            </w:r>
          </w:p>
          <w:p w14:paraId="49FDC6CB" w14:textId="77777777" w:rsidR="008A5161" w:rsidRDefault="008A5161" w:rsidP="008A5161">
            <w:pPr>
              <w:pStyle w:val="Listeafsnit"/>
              <w:ind w:left="1304"/>
              <w:rPr>
                <w:lang w:eastAsia="da-DK"/>
              </w:rPr>
            </w:pPr>
          </w:p>
          <w:p w14:paraId="29B663F1" w14:textId="74DE3BEF" w:rsidR="008A5161" w:rsidRDefault="008A5161" w:rsidP="008A5161">
            <w:pPr>
              <w:pStyle w:val="Listeafsnit"/>
              <w:ind w:left="0"/>
              <w:rPr>
                <w:lang w:eastAsia="da-DK"/>
              </w:rPr>
            </w:pPr>
            <w:r>
              <w:rPr>
                <w:lang w:eastAsia="da-DK"/>
              </w:rPr>
              <w:t>At tildelingsmodellen tildeler midler til ledelse med afsæt i en fordelingsnøgle baseret på antal medarbejdere.</w:t>
            </w:r>
          </w:p>
        </w:tc>
        <w:tc>
          <w:tcPr>
            <w:tcW w:w="2468" w:type="pct"/>
          </w:tcPr>
          <w:p w14:paraId="10EAEDC8" w14:textId="77777777" w:rsidR="008A5161" w:rsidRDefault="00EC7D5E" w:rsidP="008A5161">
            <w:pPr>
              <w:rPr>
                <w:i/>
                <w:iCs/>
                <w:lang w:eastAsia="da-DK"/>
              </w:rPr>
            </w:pPr>
            <w:r w:rsidRPr="00EC7D5E">
              <w:rPr>
                <w:i/>
                <w:iCs/>
              </w:rPr>
              <w:t>I bedes angive, hvorvidt I er enige i, a</w:t>
            </w:r>
            <w:r w:rsidRPr="00EC7D5E">
              <w:rPr>
                <w:i/>
                <w:iCs/>
                <w:lang w:eastAsia="da-DK"/>
              </w:rPr>
              <w:t>t tildelingsmodellen tildeler midler til ledelse med afsæt i en fordelingsnøgle baseret på antal medarbejdere:</w:t>
            </w:r>
          </w:p>
          <w:p w14:paraId="10CF8FA9" w14:textId="0F8E003E" w:rsidR="007A53B3" w:rsidRDefault="00AF59BB" w:rsidP="008A5161">
            <w:r>
              <w:t>Vi e</w:t>
            </w:r>
            <w:r w:rsidR="009F2506">
              <w:t xml:space="preserve">r </w:t>
            </w:r>
            <w:r>
              <w:t xml:space="preserve">enige i at der skal laves en ny fordeling </w:t>
            </w:r>
            <w:r w:rsidR="009F2506">
              <w:t>ift. ledelse.</w:t>
            </w:r>
          </w:p>
          <w:p w14:paraId="5D88A963" w14:textId="0A8EF9EE" w:rsidR="00D57F6C" w:rsidRDefault="00D57F6C" w:rsidP="008A5161">
            <w:r>
              <w:t>Det er ikke nok kun at se på antal medarbejdere. Der er stor forskel på at lede 30 medarbejdere på 1 matrikel og lede 30 medarbejdere fordelt på flere matrikler.</w:t>
            </w:r>
          </w:p>
          <w:p w14:paraId="2A16D26A" w14:textId="6F69E04F" w:rsidR="009C3DEB" w:rsidRDefault="009C3DEB" w:rsidP="008A5161">
            <w:r>
              <w:t>Vi er enige i antallet af ledere kan veksle ift. børnetal og antal ansatte.</w:t>
            </w:r>
          </w:p>
          <w:p w14:paraId="44A05C20" w14:textId="6E1F5625" w:rsidR="00D57F6C" w:rsidRDefault="00D57F6C" w:rsidP="008A5161">
            <w:r>
              <w:t xml:space="preserve">Der er også stor forskel på ledelse </w:t>
            </w:r>
            <w:r w:rsidR="009C3DEB">
              <w:t>ift.</w:t>
            </w:r>
            <w:r>
              <w:t xml:space="preserve"> den</w:t>
            </w:r>
            <w:r w:rsidR="00DE3FF4">
              <w:t xml:space="preserve"> kompleks</w:t>
            </w:r>
            <w:r w:rsidR="009C3DEB">
              <w:t>itet</w:t>
            </w:r>
            <w:r w:rsidR="00DE3FF4">
              <w:t xml:space="preserve"> </w:t>
            </w:r>
            <w:r w:rsidR="009C3DEB">
              <w:t xml:space="preserve">og </w:t>
            </w:r>
            <w:r w:rsidR="009F2506">
              <w:t xml:space="preserve">opmærksom på </w:t>
            </w:r>
            <w:r w:rsidR="009C3DEB">
              <w:t xml:space="preserve">belastningsgraden </w:t>
            </w:r>
            <w:r w:rsidR="00DE3FF4">
              <w:t>der er i den</w:t>
            </w:r>
            <w:r>
              <w:t xml:space="preserve"> børnegruppe og forældregruppe</w:t>
            </w:r>
            <w:r w:rsidR="00DE3FF4">
              <w:t xml:space="preserve"> man har.</w:t>
            </w:r>
            <w:r w:rsidR="00AF59BB">
              <w:t xml:space="preserve"> Der er flere samtaler, samarbejde med PPR, Familieområdet, og eksterne fagpersoner.</w:t>
            </w:r>
          </w:p>
          <w:p w14:paraId="5524DFED" w14:textId="4ABE34B3" w:rsidR="009F2506" w:rsidRPr="00D57F6C" w:rsidRDefault="009F2506" w:rsidP="008A5161">
            <w:r>
              <w:t>I forhold til administration så anerkender vi at den store hjælp de administrative ansatte yder er uvurderlig i dagligdagen og vigtigt de er tæt på.</w:t>
            </w:r>
          </w:p>
        </w:tc>
      </w:tr>
      <w:tr w:rsidR="008A5161" w14:paraId="451F942B" w14:textId="77777777" w:rsidTr="008A5161">
        <w:tc>
          <w:tcPr>
            <w:tcW w:w="157" w:type="pct"/>
          </w:tcPr>
          <w:p w14:paraId="0CEBDFDF" w14:textId="35080AFF" w:rsidR="008A5161" w:rsidRDefault="008A5161" w:rsidP="008A5161">
            <w:r>
              <w:t>5</w:t>
            </w:r>
          </w:p>
        </w:tc>
        <w:tc>
          <w:tcPr>
            <w:tcW w:w="2375" w:type="pct"/>
          </w:tcPr>
          <w:p w14:paraId="67840591" w14:textId="25230C70" w:rsidR="008A5161" w:rsidRPr="00BF56F6" w:rsidRDefault="008A5161" w:rsidP="00834FE2">
            <w:pPr>
              <w:pStyle w:val="Listeafsnit"/>
              <w:spacing w:after="0"/>
              <w:rPr>
                <w:b/>
                <w:bCs/>
                <w:lang w:eastAsia="da-DK"/>
              </w:rPr>
            </w:pPr>
            <w:r w:rsidRPr="00BF56F6">
              <w:rPr>
                <w:b/>
                <w:bCs/>
                <w:lang w:eastAsia="da-DK"/>
              </w:rPr>
              <w:t>Indstilling vedrørende tildeling til drift:</w:t>
            </w:r>
          </w:p>
          <w:p w14:paraId="4CA0F29D" w14:textId="77777777" w:rsidR="00834FE2" w:rsidRDefault="00834FE2" w:rsidP="00834FE2">
            <w:pPr>
              <w:pStyle w:val="Listeafsnit"/>
              <w:spacing w:after="0"/>
              <w:rPr>
                <w:lang w:eastAsia="da-DK"/>
              </w:rPr>
            </w:pPr>
          </w:p>
          <w:p w14:paraId="4FF83126" w14:textId="072C6BE1" w:rsidR="008A5161" w:rsidRDefault="008A5161" w:rsidP="00834FE2">
            <w:pPr>
              <w:spacing w:line="256" w:lineRule="auto"/>
              <w:rPr>
                <w:lang w:eastAsia="da-DK"/>
              </w:rPr>
            </w:pPr>
            <w:r>
              <w:rPr>
                <w:lang w:eastAsia="da-DK"/>
              </w:rPr>
              <w:t>At tildelingsmodellens konsekvenser for aftaleenhedernes særtildelinger tages til efterretning.</w:t>
            </w:r>
          </w:p>
        </w:tc>
        <w:tc>
          <w:tcPr>
            <w:tcW w:w="2468" w:type="pct"/>
          </w:tcPr>
          <w:p w14:paraId="24B0B281" w14:textId="47A5688B" w:rsidR="008A5161" w:rsidRDefault="00EC7D5E" w:rsidP="008A5161">
            <w:pPr>
              <w:rPr>
                <w:i/>
                <w:iCs/>
              </w:rPr>
            </w:pPr>
            <w:r w:rsidRPr="00EC7D5E">
              <w:rPr>
                <w:i/>
                <w:iCs/>
              </w:rPr>
              <w:t>I bedes angive, hvorvidt I er enige</w:t>
            </w:r>
            <w:r>
              <w:rPr>
                <w:i/>
                <w:iCs/>
              </w:rPr>
              <w:t xml:space="preserve"> i</w:t>
            </w:r>
            <w:r w:rsidRPr="00EC7D5E">
              <w:rPr>
                <w:i/>
                <w:iCs/>
              </w:rPr>
              <w:t xml:space="preserve"> </w:t>
            </w:r>
            <w:r>
              <w:rPr>
                <w:i/>
                <w:iCs/>
              </w:rPr>
              <w:t xml:space="preserve">tildelingsmodellens konsekvenser for særtildelinger: </w:t>
            </w:r>
          </w:p>
          <w:p w14:paraId="453D4A55" w14:textId="77777777" w:rsidR="007A53B3" w:rsidRDefault="007A53B3" w:rsidP="008A5161"/>
          <w:p w14:paraId="2FA86614" w14:textId="6548A166" w:rsidR="007A53B3" w:rsidRDefault="007A53B3" w:rsidP="008A5161">
            <w:r>
              <w:t>Ingen kommentarer – taget til efterretning.</w:t>
            </w:r>
            <w:r w:rsidR="009F2506">
              <w:t xml:space="preserve"> Vi hæfter os ved at der stadig bibeholdes midler til ung mor/familier på vej. Hvilket har stor betydning ind i en tidlig indsats.</w:t>
            </w:r>
          </w:p>
          <w:p w14:paraId="5E406A76" w14:textId="010A6638" w:rsidR="007A53B3" w:rsidRDefault="007A53B3" w:rsidP="008A5161">
            <w:r>
              <w:t>Lige vilkår for alle</w:t>
            </w:r>
          </w:p>
          <w:p w14:paraId="07001ACF" w14:textId="631DE73A" w:rsidR="009C3DEB" w:rsidRDefault="009C3DEB" w:rsidP="008A5161">
            <w:r>
              <w:t>Der er transparens i tildelingerne.</w:t>
            </w:r>
          </w:p>
          <w:p w14:paraId="7F824F0D" w14:textId="5A827E1E" w:rsidR="00C6246F" w:rsidRDefault="009F2506" w:rsidP="00804B69">
            <w:r>
              <w:lastRenderedPageBreak/>
              <w:t>Et eksempel på hvad der også bruges tid væk fra børnene, er at i Dagtilbud Midt</w:t>
            </w:r>
            <w:r w:rsidR="00804B69">
              <w:t xml:space="preserve"> er vi forpligtet til at deltage i samarbejde på tværs med bl.a med </w:t>
            </w:r>
            <w:proofErr w:type="gramStart"/>
            <w:r>
              <w:t>by sekretariatet</w:t>
            </w:r>
            <w:proofErr w:type="gramEnd"/>
            <w:r w:rsidR="00804B69">
              <w:t xml:space="preserve"> – her er der altid forventning om at vi byder ind med personaletimer.</w:t>
            </w:r>
          </w:p>
        </w:tc>
      </w:tr>
      <w:tr w:rsidR="008A5161" w14:paraId="0FDD1A5E" w14:textId="77777777" w:rsidTr="008A5161">
        <w:tc>
          <w:tcPr>
            <w:tcW w:w="157" w:type="pct"/>
          </w:tcPr>
          <w:p w14:paraId="1143D419" w14:textId="30494B6F" w:rsidR="008A5161" w:rsidRDefault="008A5161" w:rsidP="008A5161">
            <w:r>
              <w:lastRenderedPageBreak/>
              <w:t>6</w:t>
            </w:r>
          </w:p>
        </w:tc>
        <w:tc>
          <w:tcPr>
            <w:tcW w:w="2375" w:type="pct"/>
          </w:tcPr>
          <w:p w14:paraId="440B299F" w14:textId="77777777" w:rsidR="008A5161" w:rsidRDefault="008A5161" w:rsidP="00834FE2">
            <w:pPr>
              <w:spacing w:after="160" w:line="256" w:lineRule="auto"/>
              <w:rPr>
                <w:lang w:eastAsia="da-DK"/>
              </w:rPr>
            </w:pPr>
            <w:r>
              <w:rPr>
                <w:lang w:eastAsia="da-DK"/>
              </w:rPr>
              <w:t>At tildelingsmodellen udmøntes med en 2-årig indfasningsperiode, hvor aftaleenhederne tildeles lønbudget beregnet ud fra de faktiske lønudgifter (model C), og</w:t>
            </w:r>
          </w:p>
          <w:p w14:paraId="722C7941" w14:textId="0D4FA8CB" w:rsidR="00675B29" w:rsidRDefault="00675B29" w:rsidP="00834FE2">
            <w:pPr>
              <w:spacing w:after="160" w:line="256" w:lineRule="auto"/>
              <w:rPr>
                <w:lang w:eastAsia="da-DK"/>
              </w:rPr>
            </w:pPr>
          </w:p>
        </w:tc>
        <w:tc>
          <w:tcPr>
            <w:tcW w:w="2468" w:type="pct"/>
          </w:tcPr>
          <w:p w14:paraId="646594B8" w14:textId="77777777" w:rsidR="008A5161" w:rsidRDefault="00EC7D5E" w:rsidP="008A5161">
            <w:pPr>
              <w:rPr>
                <w:i/>
                <w:iCs/>
                <w:lang w:eastAsia="da-DK"/>
              </w:rPr>
            </w:pPr>
            <w:r w:rsidRPr="00C6246F">
              <w:rPr>
                <w:i/>
                <w:iCs/>
              </w:rPr>
              <w:t>I bedes angive, hvorvidt I er enige i</w:t>
            </w:r>
            <w:r w:rsidR="00C6246F" w:rsidRPr="00C6246F">
              <w:rPr>
                <w:i/>
                <w:iCs/>
              </w:rPr>
              <w:t>,</w:t>
            </w:r>
            <w:r w:rsidRPr="00C6246F">
              <w:rPr>
                <w:i/>
                <w:iCs/>
              </w:rPr>
              <w:t xml:space="preserve"> at tildelingsmodellen </w:t>
            </w:r>
            <w:r w:rsidR="00C6246F" w:rsidRPr="00C6246F">
              <w:rPr>
                <w:i/>
                <w:iCs/>
              </w:rPr>
              <w:t xml:space="preserve">udmøntes med en 2-årig indfasningsperiode, </w:t>
            </w:r>
            <w:r w:rsidR="00C6246F" w:rsidRPr="00C6246F">
              <w:rPr>
                <w:i/>
                <w:iCs/>
                <w:lang w:eastAsia="da-DK"/>
              </w:rPr>
              <w:t>hvor aftaleenhederne tildeles lønbudget beregnet ud fra de faktiske lønudgifter (model C)</w:t>
            </w:r>
            <w:r w:rsidR="00C6246F">
              <w:rPr>
                <w:i/>
                <w:iCs/>
                <w:lang w:eastAsia="da-DK"/>
              </w:rPr>
              <w:t>:</w:t>
            </w:r>
          </w:p>
          <w:p w14:paraId="793E3B5A" w14:textId="77777777" w:rsidR="007A53B3" w:rsidRDefault="007A53B3" w:rsidP="008A5161">
            <w:pPr>
              <w:rPr>
                <w:lang w:eastAsia="da-DK"/>
              </w:rPr>
            </w:pPr>
          </w:p>
          <w:p w14:paraId="67F1A242" w14:textId="351B288C" w:rsidR="007A53B3" w:rsidRDefault="00804B69" w:rsidP="008A5161">
            <w:pPr>
              <w:rPr>
                <w:lang w:eastAsia="da-DK"/>
              </w:rPr>
            </w:pPr>
            <w:r>
              <w:rPr>
                <w:lang w:eastAsia="da-DK"/>
              </w:rPr>
              <w:t xml:space="preserve">Vi er enige i at </w:t>
            </w:r>
            <w:r w:rsidR="007A53B3">
              <w:rPr>
                <w:lang w:eastAsia="da-DK"/>
              </w:rPr>
              <w:t>udmøntning</w:t>
            </w:r>
            <w:r>
              <w:rPr>
                <w:lang w:eastAsia="da-DK"/>
              </w:rPr>
              <w:t xml:space="preserve">en af tildelings modellen sker </w:t>
            </w:r>
            <w:r w:rsidR="007A53B3">
              <w:rPr>
                <w:lang w:eastAsia="da-DK"/>
              </w:rPr>
              <w:t xml:space="preserve">med </w:t>
            </w:r>
            <w:r>
              <w:rPr>
                <w:lang w:eastAsia="da-DK"/>
              </w:rPr>
              <w:t xml:space="preserve">en </w:t>
            </w:r>
            <w:r w:rsidR="007A53B3">
              <w:rPr>
                <w:lang w:eastAsia="da-DK"/>
              </w:rPr>
              <w:t xml:space="preserve">2-årig indfasningsperiode </w:t>
            </w:r>
            <w:r w:rsidR="002C1F95">
              <w:rPr>
                <w:lang w:eastAsia="da-DK"/>
              </w:rPr>
              <w:t>–</w:t>
            </w:r>
            <w:r w:rsidR="007A53B3">
              <w:rPr>
                <w:lang w:eastAsia="da-DK"/>
              </w:rPr>
              <w:t xml:space="preserve"> </w:t>
            </w:r>
            <w:r w:rsidR="002C1F95">
              <w:rPr>
                <w:lang w:eastAsia="da-DK"/>
              </w:rPr>
              <w:t>så kan man nå regulere.</w:t>
            </w:r>
            <w:r w:rsidR="009F2506">
              <w:rPr>
                <w:lang w:eastAsia="da-DK"/>
              </w:rPr>
              <w:t xml:space="preserve"> Dette burde gælde alle tre modeller.</w:t>
            </w:r>
          </w:p>
          <w:p w14:paraId="2F3498F7" w14:textId="3C1E0D51" w:rsidR="002C1F95" w:rsidRPr="007A53B3" w:rsidRDefault="002C1F95" w:rsidP="008A5161">
            <w:pPr>
              <w:rPr>
                <w:lang w:eastAsia="da-DK"/>
              </w:rPr>
            </w:pPr>
          </w:p>
        </w:tc>
      </w:tr>
      <w:tr w:rsidR="00834FE2" w14:paraId="75E48218" w14:textId="77777777" w:rsidTr="008A5161">
        <w:tc>
          <w:tcPr>
            <w:tcW w:w="157" w:type="pct"/>
          </w:tcPr>
          <w:p w14:paraId="3C03CFDE" w14:textId="5A5FCC8D" w:rsidR="00834FE2" w:rsidRDefault="00834FE2" w:rsidP="008A5161">
            <w:r>
              <w:t>7</w:t>
            </w:r>
          </w:p>
        </w:tc>
        <w:tc>
          <w:tcPr>
            <w:tcW w:w="2375" w:type="pct"/>
          </w:tcPr>
          <w:p w14:paraId="27DFAA21" w14:textId="77777777" w:rsidR="00834FE2" w:rsidRDefault="00834FE2" w:rsidP="008A5161">
            <w:pPr>
              <w:spacing w:line="256" w:lineRule="auto"/>
              <w:rPr>
                <w:lang w:eastAsia="da-DK"/>
              </w:rPr>
            </w:pPr>
            <w:r>
              <w:rPr>
                <w:lang w:eastAsia="da-DK"/>
              </w:rPr>
              <w:t>At tildelingsmodellen efter indfasningsperioden udmøntes som grundindretning (model A), hvor aftaleenhederne tildeles lønbudget beregnet ud fra en gennemsnitsløn.</w:t>
            </w:r>
          </w:p>
          <w:p w14:paraId="794A4067" w14:textId="7B48833D" w:rsidR="00675B29" w:rsidRDefault="00675B29" w:rsidP="008A5161">
            <w:pPr>
              <w:spacing w:line="256" w:lineRule="auto"/>
              <w:rPr>
                <w:lang w:eastAsia="da-DK"/>
              </w:rPr>
            </w:pPr>
          </w:p>
        </w:tc>
        <w:tc>
          <w:tcPr>
            <w:tcW w:w="2468" w:type="pct"/>
          </w:tcPr>
          <w:p w14:paraId="10F30723" w14:textId="3C0AD364" w:rsidR="00834FE2" w:rsidRDefault="00C6246F" w:rsidP="008A5161">
            <w:pPr>
              <w:rPr>
                <w:i/>
                <w:iCs/>
                <w:lang w:eastAsia="da-DK"/>
              </w:rPr>
            </w:pPr>
            <w:r w:rsidRPr="00C6246F">
              <w:rPr>
                <w:i/>
                <w:iCs/>
              </w:rPr>
              <w:t xml:space="preserve">I bedes angive hvorvidt </w:t>
            </w:r>
            <w:r w:rsidRPr="00C6246F">
              <w:rPr>
                <w:i/>
                <w:iCs/>
                <w:lang w:eastAsia="da-DK"/>
              </w:rPr>
              <w:t xml:space="preserve">tildelingsmodellen efter </w:t>
            </w:r>
            <w:r>
              <w:rPr>
                <w:i/>
                <w:iCs/>
                <w:lang w:eastAsia="da-DK"/>
              </w:rPr>
              <w:t xml:space="preserve">en </w:t>
            </w:r>
            <w:r w:rsidRPr="00C6246F">
              <w:rPr>
                <w:i/>
                <w:iCs/>
                <w:lang w:eastAsia="da-DK"/>
              </w:rPr>
              <w:t>indfasningsperiode</w:t>
            </w:r>
            <w:r>
              <w:rPr>
                <w:i/>
                <w:iCs/>
                <w:lang w:eastAsia="da-DK"/>
              </w:rPr>
              <w:t xml:space="preserve"> </w:t>
            </w:r>
            <w:r w:rsidRPr="00C6246F">
              <w:rPr>
                <w:i/>
                <w:iCs/>
                <w:lang w:eastAsia="da-DK"/>
              </w:rPr>
              <w:t>udmøntes som</w:t>
            </w:r>
            <w:r>
              <w:rPr>
                <w:i/>
                <w:iCs/>
                <w:lang w:eastAsia="da-DK"/>
              </w:rPr>
              <w:t xml:space="preserve"> model A, model B eller model C: </w:t>
            </w:r>
          </w:p>
          <w:p w14:paraId="33786B75" w14:textId="77777777" w:rsidR="00C6246F" w:rsidRDefault="00C6246F" w:rsidP="008A5161"/>
          <w:p w14:paraId="0EE655BB" w14:textId="765CCB0F" w:rsidR="002C1F95" w:rsidRDefault="002C1F95" w:rsidP="008A5161">
            <w:r>
              <w:t xml:space="preserve">A til C – </w:t>
            </w:r>
            <w:r w:rsidR="00D64341">
              <w:t xml:space="preserve">for os er der </w:t>
            </w:r>
            <w:r>
              <w:t>øget bureaukrati, mere administration</w:t>
            </w:r>
            <w:r w:rsidR="00D64341">
              <w:t>, når der vælges model b eller c. Vi g</w:t>
            </w:r>
            <w:r>
              <w:t>år fra decentral styring til central styring</w:t>
            </w:r>
            <w:r w:rsidR="00804B69">
              <w:t>, vi sætter særlig pris på Randers modellen, decentral styring.</w:t>
            </w:r>
          </w:p>
          <w:p w14:paraId="60E6F6EF" w14:textId="7978A8D7" w:rsidR="00030A87" w:rsidRDefault="00030A87" w:rsidP="008A5161">
            <w:r>
              <w:t>Der er stor tillid til den måde det gøres på i dag.</w:t>
            </w:r>
          </w:p>
          <w:p w14:paraId="7B6C3D7C" w14:textId="7878F27E" w:rsidR="002C1F95" w:rsidRDefault="002C1F95" w:rsidP="008A5161">
            <w:r>
              <w:t xml:space="preserve">Svært gennemskue om man kan leve op til </w:t>
            </w:r>
            <w:r w:rsidR="00804B69">
              <w:t>min. norm</w:t>
            </w:r>
            <w:r>
              <w:t xml:space="preserve"> og ønsket om 65% pædagoger, 5,9% PAU og 29,1% pædagogmedhjælpere, når vi ser hvor svært det er at rekruttere pt. Rekruttering bliver endnu sværere ved model C</w:t>
            </w:r>
            <w:r w:rsidR="00D64341">
              <w:t>, for vi kan ikke bare vælge den bedste men har et helt eksakt beløb.</w:t>
            </w:r>
            <w:r w:rsidR="00030A87">
              <w:t xml:space="preserve"> Vi ansætter altid den bedst kvalificeret udfra behovet, sammensætningen i den pågældende institution.</w:t>
            </w:r>
          </w:p>
          <w:p w14:paraId="36D1757B" w14:textId="4D0DC160" w:rsidR="002C1F95" w:rsidRDefault="002C1F95" w:rsidP="008A5161">
            <w:r>
              <w:t xml:space="preserve">Pege på A </w:t>
            </w:r>
            <w:r w:rsidR="00BC6FEB">
              <w:t>–</w:t>
            </w:r>
            <w:r>
              <w:t xml:space="preserve"> </w:t>
            </w:r>
            <w:r w:rsidR="00BC6FEB">
              <w:t>kigger på folks erfaring, hvad har vi brug for i institutionen – en god kombi af erfaring og nye giver god dynamik.</w:t>
            </w:r>
          </w:p>
          <w:p w14:paraId="23C0706B" w14:textId="4C7181A9" w:rsidR="00C126E7" w:rsidRDefault="00C126E7" w:rsidP="008A5161">
            <w:r>
              <w:t xml:space="preserve">Vi har en bekymring/opmærksomhed på at når minimumsnormeringen er fuldt indfaset og vi lever op til de 65% pædagoger, (vi bakker op om </w:t>
            </w:r>
            <w:proofErr w:type="gramStart"/>
            <w:r>
              <w:t>beslutningen )vil</w:t>
            </w:r>
            <w:proofErr w:type="gramEnd"/>
            <w:r>
              <w:t xml:space="preserve"> der være 2,5% tilbage til øvrige udgifter hvilket hos os giver grund til bekymring det kan understøtte de faktiske udgifter. Vil der være råderum til lokal løn? Der burde laves en barsels pulje, da det betyder store udsving for den enkelte institution hvor flere er på barsel </w:t>
            </w:r>
            <w:r>
              <w:lastRenderedPageBreak/>
              <w:t>samtidig, hvilket betyder færre timer og uddannede dækkes ikke af en uddannet, der er ingen der vil søge barsel stillinger, som pædagog. Det betyder vi ikke lever op til 65 % af vores ansatte er pædagoger.</w:t>
            </w:r>
          </w:p>
          <w:p w14:paraId="1FCD3328" w14:textId="1E3035A3" w:rsidR="00030A87" w:rsidRDefault="00030A87" w:rsidP="008A5161"/>
          <w:p w14:paraId="3A867938" w14:textId="7DAA5C7E" w:rsidR="00030A87" w:rsidRDefault="00030A87" w:rsidP="008A5161">
            <w:r>
              <w:t xml:space="preserve">Der har været stort fokus på afbureaukratisering – er vi på vej til mere bureaukrati. </w:t>
            </w:r>
          </w:p>
          <w:p w14:paraId="1F1F585E" w14:textId="77777777" w:rsidR="00804B69" w:rsidRDefault="00804B69" w:rsidP="008A5161"/>
          <w:p w14:paraId="30959792" w14:textId="432B9E7F" w:rsidR="002C1F95" w:rsidRPr="007A53B3" w:rsidRDefault="002C1F95" w:rsidP="008A5161"/>
        </w:tc>
      </w:tr>
      <w:tr w:rsidR="00834FE2" w14:paraId="67D6D5D4" w14:textId="77777777" w:rsidTr="008A5161">
        <w:tc>
          <w:tcPr>
            <w:tcW w:w="157" w:type="pct"/>
          </w:tcPr>
          <w:p w14:paraId="33CB639C" w14:textId="37D6070C" w:rsidR="00834FE2" w:rsidRDefault="00834FE2" w:rsidP="008A5161">
            <w:r>
              <w:lastRenderedPageBreak/>
              <w:t>8</w:t>
            </w:r>
          </w:p>
        </w:tc>
        <w:tc>
          <w:tcPr>
            <w:tcW w:w="2375" w:type="pct"/>
          </w:tcPr>
          <w:p w14:paraId="59F50EE9" w14:textId="77777777" w:rsidR="00834FE2" w:rsidRDefault="00834FE2" w:rsidP="00834FE2">
            <w:pPr>
              <w:spacing w:line="256" w:lineRule="auto"/>
              <w:rPr>
                <w:lang w:eastAsia="da-DK"/>
              </w:rPr>
            </w:pPr>
            <w:r>
              <w:rPr>
                <w:lang w:eastAsia="da-DK"/>
              </w:rPr>
              <w:t>At der oprettes en central pulje på 1 mio. kr. årligt til efteruddannelse målrettet tidlig indsats.</w:t>
            </w:r>
          </w:p>
          <w:p w14:paraId="1CB91E42" w14:textId="4A8E8E47" w:rsidR="00675B29" w:rsidRDefault="00675B29" w:rsidP="00834FE2">
            <w:pPr>
              <w:spacing w:line="256" w:lineRule="auto"/>
              <w:rPr>
                <w:lang w:eastAsia="da-DK"/>
              </w:rPr>
            </w:pPr>
          </w:p>
        </w:tc>
        <w:tc>
          <w:tcPr>
            <w:tcW w:w="2468" w:type="pct"/>
          </w:tcPr>
          <w:p w14:paraId="73FEAB67" w14:textId="77777777" w:rsidR="00834FE2" w:rsidRDefault="00C6246F" w:rsidP="008A5161">
            <w:pPr>
              <w:rPr>
                <w:i/>
                <w:iCs/>
                <w:lang w:eastAsia="da-DK"/>
              </w:rPr>
            </w:pPr>
            <w:r w:rsidRPr="00C6246F">
              <w:rPr>
                <w:i/>
                <w:iCs/>
              </w:rPr>
              <w:t xml:space="preserve">I bedes angive hvorvidt I er enige i, at der oprettes en central pulje på 1 mio. kr. årligt til </w:t>
            </w:r>
            <w:r w:rsidRPr="00C6246F">
              <w:rPr>
                <w:i/>
                <w:iCs/>
                <w:lang w:eastAsia="da-DK"/>
              </w:rPr>
              <w:t>efteruddannelse målrettet tidlig indsats:</w:t>
            </w:r>
          </w:p>
          <w:p w14:paraId="5715534E" w14:textId="77777777" w:rsidR="00BC6FEB" w:rsidRDefault="00BC6FEB" w:rsidP="008A5161">
            <w:pPr>
              <w:rPr>
                <w:i/>
                <w:iCs/>
                <w:lang w:eastAsia="da-DK"/>
              </w:rPr>
            </w:pPr>
          </w:p>
          <w:p w14:paraId="2CF42176" w14:textId="40D8F91D" w:rsidR="009F2506" w:rsidRDefault="009F2506" w:rsidP="008A5161">
            <w:pPr>
              <w:rPr>
                <w:lang w:eastAsia="da-DK"/>
              </w:rPr>
            </w:pPr>
            <w:r>
              <w:rPr>
                <w:lang w:eastAsia="da-DK"/>
              </w:rPr>
              <w:t>God ide at lave en fælles efteruddannelses pulje. Vi håber puljen kan fortsætte i flere år.</w:t>
            </w:r>
          </w:p>
          <w:p w14:paraId="4C89EB15" w14:textId="454E36DB" w:rsidR="00BC6FEB" w:rsidRDefault="00DD28A9" w:rsidP="008A5161">
            <w:pPr>
              <w:rPr>
                <w:lang w:eastAsia="da-DK"/>
              </w:rPr>
            </w:pPr>
            <w:r>
              <w:rPr>
                <w:lang w:eastAsia="da-DK"/>
              </w:rPr>
              <w:t xml:space="preserve">1 mill er alt for lidt – </w:t>
            </w:r>
            <w:r w:rsidR="00804B69">
              <w:rPr>
                <w:lang w:eastAsia="da-DK"/>
              </w:rPr>
              <w:t>vi har rekrutterings udfordringer og en af parametrene til at udvikle de medarbejdere</w:t>
            </w:r>
            <w:r w:rsidR="00D64341">
              <w:rPr>
                <w:lang w:eastAsia="da-DK"/>
              </w:rPr>
              <w:t>,</w:t>
            </w:r>
            <w:r w:rsidR="00804B69">
              <w:rPr>
                <w:lang w:eastAsia="da-DK"/>
              </w:rPr>
              <w:t xml:space="preserve"> vi allerede har </w:t>
            </w:r>
            <w:r w:rsidR="00C126E7">
              <w:rPr>
                <w:lang w:eastAsia="da-DK"/>
              </w:rPr>
              <w:t>ansat,</w:t>
            </w:r>
            <w:r w:rsidR="00804B69">
              <w:rPr>
                <w:lang w:eastAsia="da-DK"/>
              </w:rPr>
              <w:t xml:space="preserve"> er bl.a efter uddannelse. </w:t>
            </w:r>
          </w:p>
          <w:p w14:paraId="37C1687C" w14:textId="77777777" w:rsidR="00DD28A9" w:rsidRDefault="00DD28A9" w:rsidP="008A5161">
            <w:r>
              <w:t>Kommer ingen vegne med 1 mill til kompetenceudvikling af samtlige dagtilbud i kommunen. Frygt for at det ender med 1 person fra hver institution sendes af sted, som så bagefter skal formidle det lærte videre til kollegaer.</w:t>
            </w:r>
          </w:p>
          <w:p w14:paraId="2EF239F1" w14:textId="66E15E0A" w:rsidR="0094682E" w:rsidRPr="0094682E" w:rsidRDefault="0094682E" w:rsidP="0094682E">
            <w:pPr>
              <w:rPr>
                <w:rFonts w:eastAsia="Times New Roman"/>
              </w:rPr>
            </w:pPr>
            <w:r w:rsidRPr="0094682E">
              <w:rPr>
                <w:rFonts w:eastAsia="Times New Roman"/>
                <w:color w:val="000000"/>
              </w:rPr>
              <w:t>Kompetenceudvikling sker gennem fælles indsats, aktionslæring – alle skal med, derfor foreslår vi at pengene kunne tildeles et enkelt Dagtilbud ad gangen, hvor der tages udgangspunkt i hvad det pædagogiske tilsyn ligger op til der skal arbejdes videre med. På denne måde får alle på skift del i puljen og et helt Dagtilbud bliver løftet fagligt. </w:t>
            </w:r>
          </w:p>
          <w:p w14:paraId="43519ECB" w14:textId="1DA59683" w:rsidR="00DD28A9" w:rsidRPr="0094682E" w:rsidRDefault="0094682E" w:rsidP="0094682E">
            <w:r w:rsidRPr="0094682E">
              <w:rPr>
                <w:rFonts w:eastAsia="Times New Roman"/>
                <w:color w:val="000000"/>
              </w:rPr>
              <w:br/>
            </w:r>
          </w:p>
          <w:p w14:paraId="04CA8181" w14:textId="2399AE05" w:rsidR="00030A87" w:rsidRPr="00BC6FEB" w:rsidRDefault="00030A87" w:rsidP="008A5161"/>
        </w:tc>
      </w:tr>
    </w:tbl>
    <w:p w14:paraId="124E022D" w14:textId="6B07C161" w:rsidR="004E20F1" w:rsidRPr="006378A5" w:rsidRDefault="004E20F1" w:rsidP="00FE63E5"/>
    <w:sectPr w:rsidR="004E20F1" w:rsidRPr="006378A5" w:rsidSect="008A5161">
      <w:pgSz w:w="16838" w:h="11906" w:orient="landscape" w:code="9"/>
      <w:pgMar w:top="1134" w:right="1701"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A0B8" w14:textId="77777777" w:rsidR="00117503" w:rsidRDefault="00117503" w:rsidP="00D87093">
      <w:pPr>
        <w:spacing w:after="0" w:line="240" w:lineRule="auto"/>
      </w:pPr>
      <w:r>
        <w:separator/>
      </w:r>
    </w:p>
  </w:endnote>
  <w:endnote w:type="continuationSeparator" w:id="0">
    <w:p w14:paraId="50E00E8F" w14:textId="77777777" w:rsidR="00117503" w:rsidRDefault="00117503"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0296" w14:textId="77777777" w:rsidR="00117503" w:rsidRDefault="00117503" w:rsidP="00D87093">
      <w:pPr>
        <w:spacing w:after="0" w:line="240" w:lineRule="auto"/>
      </w:pPr>
      <w:r>
        <w:separator/>
      </w:r>
    </w:p>
  </w:footnote>
  <w:footnote w:type="continuationSeparator" w:id="0">
    <w:p w14:paraId="648D2B46" w14:textId="77777777" w:rsidR="00117503" w:rsidRDefault="00117503" w:rsidP="00D87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1F4C"/>
    <w:multiLevelType w:val="hybridMultilevel"/>
    <w:tmpl w:val="DCF4F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6D5E55"/>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BB708FB"/>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D461DC"/>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9C14154"/>
    <w:multiLevelType w:val="hybridMultilevel"/>
    <w:tmpl w:val="E42C2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68441F1"/>
    <w:multiLevelType w:val="hybridMultilevel"/>
    <w:tmpl w:val="ED6E36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9142214"/>
    <w:multiLevelType w:val="hybridMultilevel"/>
    <w:tmpl w:val="1C428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2786845"/>
    <w:multiLevelType w:val="hybridMultilevel"/>
    <w:tmpl w:val="C556E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0EE34D6"/>
    <w:multiLevelType w:val="hybridMultilevel"/>
    <w:tmpl w:val="15C8114A"/>
    <w:lvl w:ilvl="0" w:tplc="6B4CCD8C">
      <w:start w:val="1"/>
      <w:numFmt w:val="lowerLetter"/>
      <w:lvlText w:val="%1."/>
      <w:lvlJc w:val="left"/>
      <w:pPr>
        <w:ind w:left="944" w:hanging="360"/>
      </w:pPr>
      <w:rPr>
        <w:rFonts w:hint="default"/>
      </w:rPr>
    </w:lvl>
    <w:lvl w:ilvl="1" w:tplc="04060019" w:tentative="1">
      <w:start w:val="1"/>
      <w:numFmt w:val="lowerLetter"/>
      <w:lvlText w:val="%2."/>
      <w:lvlJc w:val="left"/>
      <w:pPr>
        <w:ind w:left="1664" w:hanging="360"/>
      </w:pPr>
    </w:lvl>
    <w:lvl w:ilvl="2" w:tplc="0406001B" w:tentative="1">
      <w:start w:val="1"/>
      <w:numFmt w:val="lowerRoman"/>
      <w:lvlText w:val="%3."/>
      <w:lvlJc w:val="right"/>
      <w:pPr>
        <w:ind w:left="2384" w:hanging="180"/>
      </w:pPr>
    </w:lvl>
    <w:lvl w:ilvl="3" w:tplc="0406000F" w:tentative="1">
      <w:start w:val="1"/>
      <w:numFmt w:val="decimal"/>
      <w:lvlText w:val="%4."/>
      <w:lvlJc w:val="left"/>
      <w:pPr>
        <w:ind w:left="3104" w:hanging="360"/>
      </w:pPr>
    </w:lvl>
    <w:lvl w:ilvl="4" w:tplc="04060019" w:tentative="1">
      <w:start w:val="1"/>
      <w:numFmt w:val="lowerLetter"/>
      <w:lvlText w:val="%5."/>
      <w:lvlJc w:val="left"/>
      <w:pPr>
        <w:ind w:left="3824" w:hanging="360"/>
      </w:pPr>
    </w:lvl>
    <w:lvl w:ilvl="5" w:tplc="0406001B" w:tentative="1">
      <w:start w:val="1"/>
      <w:numFmt w:val="lowerRoman"/>
      <w:lvlText w:val="%6."/>
      <w:lvlJc w:val="right"/>
      <w:pPr>
        <w:ind w:left="4544" w:hanging="180"/>
      </w:pPr>
    </w:lvl>
    <w:lvl w:ilvl="6" w:tplc="0406000F" w:tentative="1">
      <w:start w:val="1"/>
      <w:numFmt w:val="decimal"/>
      <w:lvlText w:val="%7."/>
      <w:lvlJc w:val="left"/>
      <w:pPr>
        <w:ind w:left="5264" w:hanging="360"/>
      </w:pPr>
    </w:lvl>
    <w:lvl w:ilvl="7" w:tplc="04060019" w:tentative="1">
      <w:start w:val="1"/>
      <w:numFmt w:val="lowerLetter"/>
      <w:lvlText w:val="%8."/>
      <w:lvlJc w:val="left"/>
      <w:pPr>
        <w:ind w:left="5984" w:hanging="360"/>
      </w:pPr>
    </w:lvl>
    <w:lvl w:ilvl="8" w:tplc="0406001B" w:tentative="1">
      <w:start w:val="1"/>
      <w:numFmt w:val="lowerRoman"/>
      <w:lvlText w:val="%9."/>
      <w:lvlJc w:val="right"/>
      <w:pPr>
        <w:ind w:left="6704" w:hanging="180"/>
      </w:pPr>
    </w:lvl>
  </w:abstractNum>
  <w:abstractNum w:abstractNumId="11" w15:restartNumberingAfterBreak="0">
    <w:nsid w:val="7C5053FA"/>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52708145">
    <w:abstractNumId w:val="9"/>
  </w:num>
  <w:num w:numId="2" w16cid:durableId="2011441783">
    <w:abstractNumId w:val="3"/>
  </w:num>
  <w:num w:numId="3" w16cid:durableId="416831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937739">
    <w:abstractNumId w:val="6"/>
  </w:num>
  <w:num w:numId="5" w16cid:durableId="1923761342">
    <w:abstractNumId w:val="11"/>
  </w:num>
  <w:num w:numId="6" w16cid:durableId="726951954">
    <w:abstractNumId w:val="2"/>
  </w:num>
  <w:num w:numId="7" w16cid:durableId="964386041">
    <w:abstractNumId w:val="1"/>
  </w:num>
  <w:num w:numId="8" w16cid:durableId="18286299">
    <w:abstractNumId w:val="4"/>
  </w:num>
  <w:num w:numId="9" w16cid:durableId="120076016">
    <w:abstractNumId w:val="7"/>
  </w:num>
  <w:num w:numId="10" w16cid:durableId="276833304">
    <w:abstractNumId w:val="8"/>
  </w:num>
  <w:num w:numId="11" w16cid:durableId="562524245">
    <w:abstractNumId w:val="10"/>
  </w:num>
  <w:num w:numId="12" w16cid:durableId="2120029966">
    <w:abstractNumId w:val="0"/>
  </w:num>
  <w:num w:numId="13" w16cid:durableId="1573001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CC"/>
    <w:rsid w:val="00000197"/>
    <w:rsid w:val="00022C56"/>
    <w:rsid w:val="00026A2F"/>
    <w:rsid w:val="00030A87"/>
    <w:rsid w:val="00046D18"/>
    <w:rsid w:val="00054019"/>
    <w:rsid w:val="000709EE"/>
    <w:rsid w:val="00081549"/>
    <w:rsid w:val="000936E1"/>
    <w:rsid w:val="000D2EDD"/>
    <w:rsid w:val="000F1719"/>
    <w:rsid w:val="00104C6E"/>
    <w:rsid w:val="00106346"/>
    <w:rsid w:val="00117503"/>
    <w:rsid w:val="0017025C"/>
    <w:rsid w:val="001866A8"/>
    <w:rsid w:val="001C3517"/>
    <w:rsid w:val="002208D2"/>
    <w:rsid w:val="00220F62"/>
    <w:rsid w:val="00231828"/>
    <w:rsid w:val="00243D7F"/>
    <w:rsid w:val="002514C0"/>
    <w:rsid w:val="00276922"/>
    <w:rsid w:val="00276DE1"/>
    <w:rsid w:val="002C1F95"/>
    <w:rsid w:val="002D3D67"/>
    <w:rsid w:val="002D4B0A"/>
    <w:rsid w:val="002E70A0"/>
    <w:rsid w:val="002E78DD"/>
    <w:rsid w:val="0033655E"/>
    <w:rsid w:val="003A392B"/>
    <w:rsid w:val="003B0C7B"/>
    <w:rsid w:val="003B62D8"/>
    <w:rsid w:val="003E0EF6"/>
    <w:rsid w:val="003E49D9"/>
    <w:rsid w:val="003F15B5"/>
    <w:rsid w:val="004120D6"/>
    <w:rsid w:val="00432D40"/>
    <w:rsid w:val="00455117"/>
    <w:rsid w:val="004E20F1"/>
    <w:rsid w:val="004F28CC"/>
    <w:rsid w:val="005134C4"/>
    <w:rsid w:val="00535FA5"/>
    <w:rsid w:val="00543D6F"/>
    <w:rsid w:val="00544B2B"/>
    <w:rsid w:val="005519A9"/>
    <w:rsid w:val="005625EB"/>
    <w:rsid w:val="005914A8"/>
    <w:rsid w:val="0059731B"/>
    <w:rsid w:val="00597CC9"/>
    <w:rsid w:val="005A4CC8"/>
    <w:rsid w:val="005C4D25"/>
    <w:rsid w:val="005C4EC2"/>
    <w:rsid w:val="005C5B17"/>
    <w:rsid w:val="005C7620"/>
    <w:rsid w:val="00603994"/>
    <w:rsid w:val="00610B7C"/>
    <w:rsid w:val="006378A5"/>
    <w:rsid w:val="006508A8"/>
    <w:rsid w:val="00666F95"/>
    <w:rsid w:val="00667645"/>
    <w:rsid w:val="00675B29"/>
    <w:rsid w:val="006A4619"/>
    <w:rsid w:val="006D63AB"/>
    <w:rsid w:val="006F5B38"/>
    <w:rsid w:val="00701696"/>
    <w:rsid w:val="00715E91"/>
    <w:rsid w:val="00773E87"/>
    <w:rsid w:val="00787009"/>
    <w:rsid w:val="007A53B3"/>
    <w:rsid w:val="007C4F2F"/>
    <w:rsid w:val="0080240A"/>
    <w:rsid w:val="00804B69"/>
    <w:rsid w:val="00834FE2"/>
    <w:rsid w:val="008731AA"/>
    <w:rsid w:val="00884868"/>
    <w:rsid w:val="008A5161"/>
    <w:rsid w:val="008E5007"/>
    <w:rsid w:val="009016E6"/>
    <w:rsid w:val="00904A70"/>
    <w:rsid w:val="00910A72"/>
    <w:rsid w:val="00914DB1"/>
    <w:rsid w:val="00925E63"/>
    <w:rsid w:val="0094682E"/>
    <w:rsid w:val="00975907"/>
    <w:rsid w:val="009B24FF"/>
    <w:rsid w:val="009C19D6"/>
    <w:rsid w:val="009C3DEB"/>
    <w:rsid w:val="009F2506"/>
    <w:rsid w:val="009F3531"/>
    <w:rsid w:val="00A26A87"/>
    <w:rsid w:val="00A9527D"/>
    <w:rsid w:val="00A96958"/>
    <w:rsid w:val="00AC0E67"/>
    <w:rsid w:val="00AC20A2"/>
    <w:rsid w:val="00AF59BB"/>
    <w:rsid w:val="00B2455F"/>
    <w:rsid w:val="00B257DC"/>
    <w:rsid w:val="00B40E3E"/>
    <w:rsid w:val="00B6387C"/>
    <w:rsid w:val="00BC6FEB"/>
    <w:rsid w:val="00BF56F6"/>
    <w:rsid w:val="00C126E7"/>
    <w:rsid w:val="00C15955"/>
    <w:rsid w:val="00C20C48"/>
    <w:rsid w:val="00C44A7B"/>
    <w:rsid w:val="00C6246F"/>
    <w:rsid w:val="00C95685"/>
    <w:rsid w:val="00D35B1D"/>
    <w:rsid w:val="00D5554B"/>
    <w:rsid w:val="00D57F6C"/>
    <w:rsid w:val="00D64341"/>
    <w:rsid w:val="00D8092E"/>
    <w:rsid w:val="00D87093"/>
    <w:rsid w:val="00D9428F"/>
    <w:rsid w:val="00DA043B"/>
    <w:rsid w:val="00DD28A9"/>
    <w:rsid w:val="00DE02E4"/>
    <w:rsid w:val="00DE3FF4"/>
    <w:rsid w:val="00DF25A6"/>
    <w:rsid w:val="00E10A47"/>
    <w:rsid w:val="00E7290E"/>
    <w:rsid w:val="00E9551B"/>
    <w:rsid w:val="00E96DE6"/>
    <w:rsid w:val="00EA4F7F"/>
    <w:rsid w:val="00EC7D5E"/>
    <w:rsid w:val="00ED253D"/>
    <w:rsid w:val="00F10DF7"/>
    <w:rsid w:val="00FB39A8"/>
    <w:rsid w:val="00FC08CF"/>
    <w:rsid w:val="00FE16F5"/>
    <w:rsid w:val="00FE63E5"/>
    <w:rsid w:val="00FF0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0542"/>
  <w15:chartTrackingRefBased/>
  <w15:docId w15:val="{1E523E18-03D1-4A31-BF6D-76EBE19D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716">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 w:id="13637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92D9-507C-4D03-9F52-488A0A1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6766</Characters>
  <Application>Microsoft Office Word</Application>
  <DocSecurity>4</DocSecurity>
  <Lines>187</Lines>
  <Paragraphs>78</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 Andersen</dc:creator>
  <cp:keywords/>
  <dc:description/>
  <cp:lastModifiedBy>Berit Christel Poulsen</cp:lastModifiedBy>
  <cp:revision>2</cp:revision>
  <cp:lastPrinted>2023-08-15T13:22:00Z</cp:lastPrinted>
  <dcterms:created xsi:type="dcterms:W3CDTF">2023-09-07T07:22:00Z</dcterms:created>
  <dcterms:modified xsi:type="dcterms:W3CDTF">2023-09-07T07:22:00Z</dcterms:modified>
</cp:coreProperties>
</file>