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AD53" w14:textId="16376DAA" w:rsidR="000E0E2D" w:rsidRDefault="000E0E2D" w:rsidP="000E0E2D">
      <w:pPr>
        <w:pStyle w:val="Overskrift1"/>
        <w:rPr>
          <w:rStyle w:val="punktoverskrift"/>
          <w:rFonts w:ascii="Arial" w:hAnsi="Arial" w:cs="Arial"/>
        </w:rPr>
      </w:pPr>
      <w:r>
        <w:rPr>
          <w:rStyle w:val="punktoverskrift"/>
          <w:rFonts w:ascii="Arial" w:hAnsi="Arial" w:cs="Arial"/>
        </w:rPr>
        <w:t xml:space="preserve">Indsats for bedre boligkvalitet </w:t>
      </w:r>
    </w:p>
    <w:p w14:paraId="0F03B5A3" w14:textId="296F0C3D" w:rsidR="004D4995" w:rsidRPr="000E0E2D" w:rsidRDefault="00B615B1" w:rsidP="000E0E2D">
      <w:pPr>
        <w:pStyle w:val="Overskrift2"/>
        <w:rPr>
          <w:rStyle w:val="punktoverskrift"/>
        </w:rPr>
      </w:pPr>
      <w:r w:rsidRPr="000E0E2D">
        <w:rPr>
          <w:rStyle w:val="punktoverskrift"/>
        </w:rPr>
        <w:t>Administrationsgrund</w:t>
      </w:r>
      <w:r w:rsidR="000E0E2D" w:rsidRPr="000E0E2D">
        <w:rPr>
          <w:rStyle w:val="punktoverskrift"/>
        </w:rPr>
        <w:t xml:space="preserve">lag for frivillig nedrivning, </w:t>
      </w:r>
      <w:r w:rsidRPr="000E0E2D">
        <w:rPr>
          <w:rStyle w:val="punktoverskrift"/>
        </w:rPr>
        <w:t>opkøb med henblik på nedrivning</w:t>
      </w:r>
      <w:r w:rsidR="000E0E2D" w:rsidRPr="000E0E2D">
        <w:rPr>
          <w:rStyle w:val="punktoverskrift"/>
        </w:rPr>
        <w:t xml:space="preserve"> og indretning af friarealer </w:t>
      </w:r>
    </w:p>
    <w:p w14:paraId="5F79D4EA" w14:textId="24EC2754" w:rsidR="00D93A38" w:rsidRPr="000E0E2D" w:rsidRDefault="000E0E2D" w:rsidP="000E0E2D">
      <w:pPr>
        <w:rPr>
          <w:rFonts w:eastAsia="Times New Roman" w:cstheme="minorHAnsi"/>
          <w:lang w:eastAsia="da-DK"/>
        </w:rPr>
      </w:pPr>
      <w:r w:rsidRPr="000E0E2D">
        <w:rPr>
          <w:rFonts w:eastAsia="Times New Roman" w:cstheme="minorHAnsi"/>
          <w:lang w:eastAsia="da-DK"/>
        </w:rPr>
        <w:t xml:space="preserve">I byfornyelsesindsatsen 2021-2024 igangsættes en fokuseret indsats for bedre boligkvalitet. </w:t>
      </w:r>
      <w:r w:rsidR="00B615B1" w:rsidRPr="000E0E2D">
        <w:rPr>
          <w:rFonts w:cstheme="minorHAnsi"/>
          <w:lang w:eastAsia="da-DK"/>
        </w:rPr>
        <w:t xml:space="preserve">Jævnfør </w:t>
      </w:r>
      <w:r w:rsidR="000F27B4" w:rsidRPr="000E0E2D">
        <w:rPr>
          <w:rFonts w:cstheme="minorHAnsi"/>
          <w:lang w:eastAsia="da-DK"/>
        </w:rPr>
        <w:t>byfornyelsesindsatsen</w:t>
      </w:r>
      <w:r w:rsidR="00B615B1" w:rsidRPr="000E0E2D">
        <w:rPr>
          <w:rFonts w:cstheme="minorHAnsi"/>
          <w:lang w:eastAsia="da-DK"/>
        </w:rPr>
        <w:t xml:space="preserve">, vil kommunen udvide indsatsen for bedre boligkvalitet med frivillige nedrivninger og opsøgende arbejde. </w:t>
      </w:r>
    </w:p>
    <w:p w14:paraId="2C20E213" w14:textId="5DB8BABC" w:rsidR="00873E87" w:rsidRPr="000E0E2D" w:rsidRDefault="00873E87" w:rsidP="000E0E2D">
      <w:pPr>
        <w:rPr>
          <w:rFonts w:cstheme="minorHAnsi"/>
        </w:rPr>
      </w:pPr>
      <w:r w:rsidRPr="000E0E2D">
        <w:rPr>
          <w:rFonts w:cstheme="minorHAnsi"/>
        </w:rPr>
        <w:t>Nedrivning af skæmmende og nedslidte ejendomme er et vigtigt instrument for et balanceret boligmarked, tidssvarende boligudbud og stærkere befolkningssammensætning. Den boligsociale indsats over for private boligudlejere er m</w:t>
      </w:r>
      <w:r w:rsidR="006D47CF">
        <w:rPr>
          <w:rFonts w:cstheme="minorHAnsi"/>
        </w:rPr>
        <w:t>ed til forebygge, at dårlig</w:t>
      </w:r>
      <w:r w:rsidRPr="000E0E2D">
        <w:rPr>
          <w:rFonts w:cstheme="minorHAnsi"/>
        </w:rPr>
        <w:t>e og</w:t>
      </w:r>
      <w:r w:rsidR="006D47CF">
        <w:rPr>
          <w:rFonts w:cstheme="minorHAnsi"/>
        </w:rPr>
        <w:t xml:space="preserve"> </w:t>
      </w:r>
      <w:r w:rsidRPr="000E0E2D">
        <w:rPr>
          <w:rFonts w:cstheme="minorHAnsi"/>
        </w:rPr>
        <w:t>sundhedsskadelige ejendomme bruges til boligudlejning</w:t>
      </w:r>
      <w:r w:rsidR="006D47CF">
        <w:rPr>
          <w:rFonts w:cstheme="minorHAnsi"/>
        </w:rPr>
        <w:t>, ligesom det understøtter,</w:t>
      </w:r>
      <w:r w:rsidRPr="000E0E2D">
        <w:rPr>
          <w:rFonts w:cstheme="minorHAnsi"/>
        </w:rPr>
        <w:t xml:space="preserve"> at byernes visuelle udtryk fremstår attraktivt for potentielle tilflyttere.</w:t>
      </w:r>
    </w:p>
    <w:p w14:paraId="23DF425B" w14:textId="6D91304F" w:rsidR="00226E09" w:rsidRPr="000E0E2D" w:rsidRDefault="00226E09" w:rsidP="000E0E2D">
      <w:pPr>
        <w:rPr>
          <w:rFonts w:cstheme="minorHAnsi"/>
        </w:rPr>
      </w:pPr>
      <w:r w:rsidRPr="000E0E2D">
        <w:rPr>
          <w:rFonts w:cstheme="minorHAnsi"/>
        </w:rPr>
        <w:t>Administrationsgru</w:t>
      </w:r>
      <w:r w:rsidR="006D47CF">
        <w:rPr>
          <w:rFonts w:cstheme="minorHAnsi"/>
        </w:rPr>
        <w:t>ndlaget er gældende for byer med mindre end</w:t>
      </w:r>
      <w:r w:rsidRPr="000E0E2D">
        <w:rPr>
          <w:rFonts w:cstheme="minorHAnsi"/>
        </w:rPr>
        <w:t xml:space="preserve"> 4000 indbyggere og det åbne land. </w:t>
      </w:r>
    </w:p>
    <w:p w14:paraId="048DC627" w14:textId="77777777" w:rsidR="00873E87" w:rsidRPr="000E0E2D" w:rsidRDefault="00873E87" w:rsidP="000E0E2D">
      <w:pPr>
        <w:pStyle w:val="Overskrift4"/>
      </w:pPr>
      <w:r w:rsidRPr="000E0E2D">
        <w:t xml:space="preserve">Kondemnering </w:t>
      </w:r>
    </w:p>
    <w:p w14:paraId="6627D5C9" w14:textId="77777777" w:rsidR="006D47CF" w:rsidRDefault="006D47CF" w:rsidP="00873E87">
      <w:r>
        <w:rPr>
          <w:rFonts w:ascii="Calibri" w:hAnsi="Calibri"/>
        </w:rPr>
        <w:t xml:space="preserve">Skønnes en bygning at være </w:t>
      </w:r>
      <w:r w:rsidR="00873E87" w:rsidRPr="001A136B">
        <w:rPr>
          <w:rFonts w:ascii="Calibri" w:hAnsi="Calibri"/>
        </w:rPr>
        <w:t>forbundet med su</w:t>
      </w:r>
      <w:r w:rsidR="00747B18">
        <w:rPr>
          <w:rFonts w:ascii="Calibri" w:hAnsi="Calibri"/>
        </w:rPr>
        <w:t>ndhedsfare eller brandfare</w:t>
      </w:r>
      <w:r w:rsidR="00873E87" w:rsidRPr="001A136B">
        <w:rPr>
          <w:rFonts w:ascii="Calibri" w:hAnsi="Calibri"/>
        </w:rPr>
        <w:t>, kan komm</w:t>
      </w:r>
      <w:r w:rsidR="00873E87">
        <w:t>unen</w:t>
      </w:r>
      <w:r w:rsidR="00873E87" w:rsidRPr="001A136B">
        <w:rPr>
          <w:rFonts w:ascii="Calibri" w:hAnsi="Calibri"/>
        </w:rPr>
        <w:t xml:space="preserve"> nedlægge forbud mod, at bygningen eller en del af denne benyttes til beboelse eller ophold for mennesker (kondemnering). Forbud kan omfatte beboede og ubeboede bygninger</w:t>
      </w:r>
      <w:r w:rsidR="00873E87">
        <w:t xml:space="preserve">. </w:t>
      </w:r>
    </w:p>
    <w:p w14:paraId="3B451978" w14:textId="21416A45" w:rsidR="00873E87" w:rsidRDefault="00873E87" w:rsidP="00873E87">
      <w:r>
        <w:t xml:space="preserve">Såfremt </w:t>
      </w:r>
      <w:r w:rsidR="00226E09">
        <w:t>en skæmmende bygning</w:t>
      </w:r>
      <w:r>
        <w:t xml:space="preserve"> </w:t>
      </w:r>
      <w:r w:rsidR="008814DF">
        <w:t xml:space="preserve">er </w:t>
      </w:r>
      <w:r>
        <w:t xml:space="preserve">kondemneringsegnet, vil forvaltningen følge proceduren herfor. </w:t>
      </w:r>
    </w:p>
    <w:p w14:paraId="7F96DD8E" w14:textId="6596A245" w:rsidR="006D47CF" w:rsidRDefault="006D47CF" w:rsidP="00873E87">
      <w:r>
        <w:t xml:space="preserve">Jf. §77, stk. 5 i byfornyelsesloven kan kommunen </w:t>
      </w:r>
      <w:r w:rsidRPr="006D47CF">
        <w:t>påbyde en kondemneret ejendom nedrevet for ejers egen regning, hvis ejer lader ejendommen stå og forfalde, så den bliver til ulempe for omboende eller andre, der opholder sig eller færdes i nærheden.</w:t>
      </w:r>
    </w:p>
    <w:p w14:paraId="64EEDF57" w14:textId="77777777" w:rsidR="00873E87" w:rsidRDefault="00873E87" w:rsidP="00873E87">
      <w:r>
        <w:t xml:space="preserve">Er bygningen ikke kondemneringsegnet, er der mulighed for at: </w:t>
      </w:r>
    </w:p>
    <w:p w14:paraId="3AFB0923" w14:textId="77777777" w:rsidR="00873E87" w:rsidRDefault="00873E87" w:rsidP="00873E87">
      <w:pPr>
        <w:pStyle w:val="Listeafsnit"/>
        <w:numPr>
          <w:ilvl w:val="0"/>
          <w:numId w:val="43"/>
        </w:numPr>
        <w:spacing w:after="480" w:line="259" w:lineRule="auto"/>
      </w:pPr>
      <w:r>
        <w:t xml:space="preserve">Give tilsagn og støtte til frivillig nedrivning </w:t>
      </w:r>
    </w:p>
    <w:p w14:paraId="4B9A5935" w14:textId="77777777" w:rsidR="00873E87" w:rsidRDefault="00873E87" w:rsidP="00873E87">
      <w:pPr>
        <w:pStyle w:val="Listeafsnit"/>
        <w:numPr>
          <w:ilvl w:val="0"/>
          <w:numId w:val="43"/>
        </w:numPr>
        <w:spacing w:after="480" w:line="259" w:lineRule="auto"/>
      </w:pPr>
      <w:r>
        <w:t xml:space="preserve">Opkøbe ejendomme med henblik på nedrivning. </w:t>
      </w:r>
    </w:p>
    <w:p w14:paraId="7B5D29C1" w14:textId="75CB812C" w:rsidR="00873E87" w:rsidRPr="009558C1" w:rsidRDefault="00873E87" w:rsidP="000E0E2D">
      <w:pPr>
        <w:pStyle w:val="Overskrift4"/>
      </w:pPr>
      <w:r w:rsidRPr="009558C1">
        <w:t>Kriterier for</w:t>
      </w:r>
      <w:r w:rsidR="000E0E2D">
        <w:t xml:space="preserve"> udpegning af ejendomme til</w:t>
      </w:r>
      <w:r w:rsidRPr="009558C1">
        <w:t xml:space="preserve"> </w:t>
      </w:r>
      <w:r w:rsidR="000E0E2D">
        <w:t xml:space="preserve">frivillige nedrivninger </w:t>
      </w:r>
      <w:r w:rsidRPr="009558C1">
        <w:t xml:space="preserve">  </w:t>
      </w:r>
    </w:p>
    <w:p w14:paraId="4017D9B5" w14:textId="4DAD75D8" w:rsidR="00873E87" w:rsidRPr="00E85AAE" w:rsidRDefault="00873E87" w:rsidP="00873E87">
      <w:r w:rsidRPr="007E56DE">
        <w:rPr>
          <w:rFonts w:ascii="Calibri" w:hAnsi="Calibri"/>
        </w:rPr>
        <w:t>Randers kommune støtter som udgangspunkt kun nedrivning af nedslidte og forfaldne bygninger, når der er en væsentlig almen nytte af nedrivningen. (</w:t>
      </w:r>
      <w:r w:rsidRPr="007E56DE">
        <w:t>Fjerne</w:t>
      </w:r>
      <w:r w:rsidRPr="007E56DE">
        <w:rPr>
          <w:rFonts w:ascii="Calibri" w:hAnsi="Calibri"/>
        </w:rPr>
        <w:t xml:space="preserve"> skæmmende bygninger synligt beliggende i landskabet eller i byer)</w:t>
      </w:r>
      <w:r>
        <w:t xml:space="preserve">. </w:t>
      </w:r>
      <w:r w:rsidRPr="0095481E">
        <w:t xml:space="preserve">Hvorvidt ejendommen er skæmmende og nedslidt er </w:t>
      </w:r>
      <w:r>
        <w:t>en</w:t>
      </w:r>
      <w:r w:rsidRPr="0095481E">
        <w:t xml:space="preserve"> vurdering. </w:t>
      </w:r>
      <w:r w:rsidR="000E0E2D">
        <w:t xml:space="preserve">For at en ejendom kan få tilsagn om støtte til frivillig nedrivning, skal minimum et af følgende kriterier være til stede: </w:t>
      </w:r>
      <w:r>
        <w:t xml:space="preserve"> </w:t>
      </w:r>
    </w:p>
    <w:p w14:paraId="6E07D3B0" w14:textId="4F59037C" w:rsidR="00873E87" w:rsidRPr="007E56DE" w:rsidRDefault="00873E87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7E56DE">
        <w:t>Skæmmende bygninger der ligger placeret langs hovedfærdselsåre, centralt i bybilledet eller med en synlig beliggenhed set fra offentlig vej prioriteres højest, da disse give</w:t>
      </w:r>
      <w:r w:rsidR="005373A1">
        <w:t>r</w:t>
      </w:r>
      <w:r w:rsidRPr="007E56DE">
        <w:t xml:space="preserve"> et indtryk af afvikling i stedet for udvikling og liv.</w:t>
      </w:r>
    </w:p>
    <w:p w14:paraId="3D50E619" w14:textId="77777777" w:rsidR="00873E87" w:rsidRPr="007E56DE" w:rsidRDefault="00873E87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7E56DE">
        <w:t xml:space="preserve">Bygninger der fremstår skæmmende og synligt for de omkringliggende nabobebyggelser. </w:t>
      </w:r>
    </w:p>
    <w:p w14:paraId="570CEDBA" w14:textId="1F705E9D" w:rsidR="00226E09" w:rsidRDefault="00226E09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7E56DE">
        <w:t>Bygninger i det åbne land der fremstår nedslidte og forfaldne og tiltrækker utilsigtet opmærksomhed hos folk</w:t>
      </w:r>
      <w:r w:rsidR="008814DF">
        <w:t>,</w:t>
      </w:r>
      <w:r w:rsidRPr="007E56DE">
        <w:t xml:space="preserve"> som færdes i området og dermed forringer en ellers værdifuld oplevelse a</w:t>
      </w:r>
      <w:r w:rsidR="005373A1">
        <w:t>f</w:t>
      </w:r>
      <w:r w:rsidRPr="007E56DE">
        <w:t xml:space="preserve"> stedet og dets landskabselementer i øvrigt.</w:t>
      </w:r>
      <w:r w:rsidRPr="00FC424B">
        <w:rPr>
          <w:rFonts w:ascii="Calibri" w:hAnsi="Calibri"/>
        </w:rPr>
        <w:t xml:space="preserve"> Retningslinjer og udpegninger i kommuneplanen i </w:t>
      </w:r>
      <w:r w:rsidRPr="00FC424B">
        <w:rPr>
          <w:rFonts w:ascii="Calibri" w:hAnsi="Calibri"/>
        </w:rPr>
        <w:lastRenderedPageBreak/>
        <w:t>forhold til beskyttelse af landskabs- og kulturarvs interesser vil ofte være et naturligt udgangspunkt for vurderingerne i disse sager.</w:t>
      </w:r>
      <w:r>
        <w:t xml:space="preserve"> </w:t>
      </w:r>
    </w:p>
    <w:p w14:paraId="46F72422" w14:textId="4B8D1BE5" w:rsidR="00226E09" w:rsidRDefault="000E0E2D" w:rsidP="000E0E2D">
      <w:pPr>
        <w:pStyle w:val="Overskrift4"/>
      </w:pPr>
      <w:r>
        <w:t xml:space="preserve">Øvrige krav </w:t>
      </w:r>
    </w:p>
    <w:p w14:paraId="24EB415F" w14:textId="2B3FAE9C" w:rsidR="00226E09" w:rsidRDefault="00873E87" w:rsidP="00D21AD3">
      <w:pPr>
        <w:spacing w:after="480" w:line="259" w:lineRule="auto"/>
      </w:pPr>
      <w:r w:rsidRPr="00F511EA">
        <w:t xml:space="preserve">Ved frivillige nedrivninger giver kommunen et tilskud til nedrivning af </w:t>
      </w:r>
      <w:r>
        <w:t xml:space="preserve">private ejendomme. </w:t>
      </w:r>
      <w:r w:rsidR="00D21AD3">
        <w:t xml:space="preserve">Følgende krav skal være opfyldt: </w:t>
      </w:r>
      <w:r w:rsidRPr="00F511EA">
        <w:t xml:space="preserve"> </w:t>
      </w:r>
    </w:p>
    <w:p w14:paraId="64D758E3" w14:textId="1ECE2C06" w:rsidR="00226E09" w:rsidRDefault="00873E87" w:rsidP="00D21AD3">
      <w:pPr>
        <w:pStyle w:val="Listeafsnit"/>
        <w:numPr>
          <w:ilvl w:val="0"/>
          <w:numId w:val="47"/>
        </w:numPr>
        <w:spacing w:after="480" w:line="259" w:lineRule="auto"/>
      </w:pPr>
      <w:r>
        <w:t>Bygningen skal være fra før 1960</w:t>
      </w:r>
      <w:r w:rsidR="008814DF">
        <w:t>,</w:t>
      </w:r>
      <w:r>
        <w:t xml:space="preserve"> og det skal vurderes økonomisk uhensigtsmæssigt at istandsætte i forhold til bygningens værdi og restlevetid. </w:t>
      </w:r>
    </w:p>
    <w:p w14:paraId="51A7DEE2" w14:textId="3479FB8B" w:rsidR="00873E87" w:rsidRDefault="00873E87" w:rsidP="00D21AD3">
      <w:pPr>
        <w:pStyle w:val="Listeafsnit"/>
        <w:numPr>
          <w:ilvl w:val="0"/>
          <w:numId w:val="47"/>
        </w:numPr>
        <w:spacing w:after="480" w:line="259" w:lineRule="auto"/>
      </w:pPr>
      <w:r>
        <w:t>Der gives kun tilskud til nedrivning af staldbygninger, tilbygninger og lader i forbindelse med nedrivning af bygninger til beboelse</w:t>
      </w:r>
      <w:r w:rsidR="00226E09">
        <w:t>sformål</w:t>
      </w:r>
      <w:r>
        <w:t xml:space="preserve">. </w:t>
      </w:r>
    </w:p>
    <w:p w14:paraId="46B3DFBC" w14:textId="667B9727" w:rsidR="00226E09" w:rsidRDefault="00226E09" w:rsidP="00D21AD3">
      <w:pPr>
        <w:pStyle w:val="Listeafsnit"/>
        <w:numPr>
          <w:ilvl w:val="0"/>
          <w:numId w:val="47"/>
        </w:numPr>
      </w:pPr>
      <w:r w:rsidRPr="00D21AD3">
        <w:rPr>
          <w:rFonts w:ascii="Calibri" w:hAnsi="Calibri"/>
        </w:rPr>
        <w:t>Der kan ikke søges om frivillig nedrivning af fritids -og sommerhuse. Dog er det muligt at kondemnere og påbyde ejendommen nedrevet</w:t>
      </w:r>
      <w:r w:rsidR="008814DF">
        <w:rPr>
          <w:rFonts w:ascii="Calibri" w:hAnsi="Calibri"/>
        </w:rPr>
        <w:t>,</w:t>
      </w:r>
      <w:r w:rsidRPr="00D21AD3">
        <w:rPr>
          <w:rFonts w:ascii="Calibri" w:hAnsi="Calibri"/>
        </w:rPr>
        <w:t xml:space="preserve"> såfremt betingelserne herfor er opfyldt. </w:t>
      </w:r>
    </w:p>
    <w:p w14:paraId="301E72D9" w14:textId="77777777" w:rsidR="00873E87" w:rsidRDefault="00873E87" w:rsidP="00D21AD3">
      <w:pPr>
        <w:pStyle w:val="Listeafsnit"/>
        <w:numPr>
          <w:ilvl w:val="0"/>
          <w:numId w:val="47"/>
        </w:numPr>
      </w:pPr>
      <w:r w:rsidRPr="00D21AD3">
        <w:rPr>
          <w:rFonts w:ascii="Calibri" w:hAnsi="Calibri"/>
        </w:rPr>
        <w:t>Det er ejerens ansvar, at grunden bagefter vedligeholdes, så den ikke igen bliver til gene for naboer og forbipasserende.</w:t>
      </w:r>
    </w:p>
    <w:p w14:paraId="2A409457" w14:textId="2B21C385" w:rsidR="00747B18" w:rsidRDefault="00747B18" w:rsidP="00D21AD3">
      <w:pPr>
        <w:pStyle w:val="Listeafsnit"/>
        <w:numPr>
          <w:ilvl w:val="0"/>
          <w:numId w:val="47"/>
        </w:numPr>
      </w:pPr>
      <w:r>
        <w:t>Der gives ikke</w:t>
      </w:r>
      <w:r w:rsidRPr="00CF5918">
        <w:t xml:space="preserve"> tilskud til </w:t>
      </w:r>
      <w:r>
        <w:t xml:space="preserve">frivillige </w:t>
      </w:r>
      <w:r w:rsidRPr="00CF5918">
        <w:t>nedrivning af bygninger, hvor nedrivningen sker med henblik på samtidigt nybyggeri</w:t>
      </w:r>
    </w:p>
    <w:p w14:paraId="35F7854E" w14:textId="34EA7D82" w:rsidR="00423D99" w:rsidRDefault="00423D99" w:rsidP="00423D99">
      <w:pPr>
        <w:pStyle w:val="Listeafsnit"/>
        <w:numPr>
          <w:ilvl w:val="0"/>
          <w:numId w:val="47"/>
        </w:numPr>
      </w:pPr>
      <w:r>
        <w:t xml:space="preserve">Der gives </w:t>
      </w:r>
      <w:r w:rsidR="00EE03DC">
        <w:t xml:space="preserve">som udgangspunkt </w:t>
      </w:r>
      <w:r>
        <w:t xml:space="preserve">ikke tilsagn om støtte til frivillig nedrivning af bevaringsværdige bygninger med en bevaringsværdi på 1-4 eller fredede bygninger. </w:t>
      </w:r>
    </w:p>
    <w:p w14:paraId="0393A398" w14:textId="77777777" w:rsidR="00873E87" w:rsidRDefault="00873E87" w:rsidP="00873E87">
      <w:r>
        <w:t xml:space="preserve">Såfremt ejendommen er beliggende i et udpeget kulturmiljø jf. kommuneplanen, skal der udarbejdes en helhedsvurdering af bygningsdelenes betydning for kulturmiljøets integritet. </w:t>
      </w:r>
      <w:r w:rsidRPr="0031585D">
        <w:t>Nogle kulturmiljøer er særligt sårbare overfor udtynding. Såfremt en nedrivning væsentligt vil forrige kulturmiljøet, tildeles ikke støtte.</w:t>
      </w:r>
      <w:r>
        <w:t xml:space="preserve"> </w:t>
      </w:r>
    </w:p>
    <w:p w14:paraId="07FFB1AC" w14:textId="4C092C19" w:rsidR="000F27B4" w:rsidRPr="000F27B4" w:rsidRDefault="000F27B4" w:rsidP="000E0E2D">
      <w:pPr>
        <w:pStyle w:val="Overskrift4"/>
      </w:pPr>
      <w:r w:rsidRPr="000F27B4">
        <w:t>Grøn nedrivning</w:t>
      </w:r>
    </w:p>
    <w:p w14:paraId="51F7C1E1" w14:textId="4343C7C3" w:rsidR="00873E87" w:rsidRPr="00BD7348" w:rsidRDefault="00873E87" w:rsidP="00873E87">
      <w:r w:rsidRPr="00B35856">
        <w:t xml:space="preserve">Med et øget fokus på bæredygtighed og FN’s Verdensmål </w:t>
      </w:r>
      <w:r w:rsidR="000E0E2D">
        <w:t>skal nedrivninger gennemføres som grøn nedrivning</w:t>
      </w:r>
      <w:r w:rsidRPr="00B35856">
        <w:t xml:space="preserve">. Det vil sige til nedrivninger, hvor nedbrydningsmaterialerne genbruges, enten som direkte genbrug eller gennem en forarbejdningsproces, og hvor nedrivningen sker på en sådan måde, at materialerne kan recirkuleres. </w:t>
      </w:r>
      <w:r w:rsidR="000E0E2D">
        <w:t>Der</w:t>
      </w:r>
      <w:r>
        <w:t xml:space="preserve"> stilles krav om miljøscreening og ressourcekortlægning</w:t>
      </w:r>
      <w:r w:rsidR="008814DF">
        <w:t>,</w:t>
      </w:r>
      <w:r>
        <w:t xml:space="preserve"> når der gives tilsagn om støtte til frivillig nedrivning. </w:t>
      </w:r>
      <w:r w:rsidR="005C555A">
        <w:t xml:space="preserve">Der kan stilles krav om dokumentation for genanvendelse. </w:t>
      </w:r>
    </w:p>
    <w:p w14:paraId="28D5AF67" w14:textId="77777777" w:rsidR="00873E87" w:rsidRPr="005A5DA7" w:rsidRDefault="00873E87" w:rsidP="00957DFF">
      <w:pPr>
        <w:pStyle w:val="Overskrift4"/>
      </w:pPr>
      <w:r w:rsidRPr="005A5DA7">
        <w:t>O</w:t>
      </w:r>
      <w:r>
        <w:t>pkøb med henblik på nedrivning</w:t>
      </w:r>
    </w:p>
    <w:p w14:paraId="4D6AB310" w14:textId="06E2CF88" w:rsidR="0044009A" w:rsidRDefault="00873E87" w:rsidP="00873E87">
      <w:r>
        <w:t>Kommunen har mulighed for at opkøbe ejendomme med henblik på nedrivning. Opkøb kan ske som fri</w:t>
      </w:r>
      <w:r w:rsidR="00226E09">
        <w:t>handel eller på tvangsauktioner</w:t>
      </w:r>
      <w:r>
        <w:t xml:space="preserve">. </w:t>
      </w:r>
      <w:r w:rsidR="000E0E2D">
        <w:t>Nedrivninger</w:t>
      </w:r>
      <w:r w:rsidR="0044009A">
        <w:t xml:space="preserve"> af opkøbte ejendomme sker som grøn nedrivning</w:t>
      </w:r>
      <w:r w:rsidR="000F27B4">
        <w:t xml:space="preserve"> </w:t>
      </w:r>
      <w:r w:rsidR="00957DFF">
        <w:t>(ressourcekortlægning</w:t>
      </w:r>
      <w:r w:rsidR="000F27B4">
        <w:t xml:space="preserve"> og genanvendelse af materialer). </w:t>
      </w:r>
      <w:r w:rsidR="0044009A">
        <w:t xml:space="preserve"> </w:t>
      </w:r>
    </w:p>
    <w:p w14:paraId="28B6D404" w14:textId="163FA9D1" w:rsidR="00873E87" w:rsidRDefault="00226E09" w:rsidP="00873E87">
      <w:r>
        <w:t>Prioriteringer for o</w:t>
      </w:r>
      <w:r w:rsidR="0044009A">
        <w:t xml:space="preserve">pkøb med henblik på nedrivning: </w:t>
      </w:r>
    </w:p>
    <w:p w14:paraId="61895B82" w14:textId="1948346F" w:rsidR="00226E09" w:rsidRPr="00A11021" w:rsidRDefault="00226E09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7E56DE">
        <w:t>Herreløse</w:t>
      </w:r>
      <w:r>
        <w:t xml:space="preserve"> skæmmende</w:t>
      </w:r>
      <w:r w:rsidRPr="007E56DE">
        <w:t xml:space="preserve"> huse, hvor ejeren ikke har planer om nybyg</w:t>
      </w:r>
      <w:r>
        <w:t>,</w:t>
      </w:r>
      <w:r w:rsidRPr="007E56DE">
        <w:t xml:space="preserve"> fremtidig istandsættelse</w:t>
      </w:r>
      <w:r>
        <w:t xml:space="preserve"> og </w:t>
      </w:r>
      <w:r w:rsidRPr="00A11021">
        <w:t>ønsker at afhænde ejendommen.</w:t>
      </w:r>
    </w:p>
    <w:p w14:paraId="02103575" w14:textId="33F046F7" w:rsidR="00226E09" w:rsidRPr="00A11021" w:rsidRDefault="00226E09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A11021">
        <w:t xml:space="preserve">I byer og landsbyer, hvor der er mangel på friareal og bynære grønne områder. </w:t>
      </w:r>
    </w:p>
    <w:p w14:paraId="54A767B2" w14:textId="19325084" w:rsidR="00226E09" w:rsidRPr="00A11021" w:rsidRDefault="00226E09" w:rsidP="00873E87">
      <w:pPr>
        <w:pStyle w:val="Listeafsnit"/>
        <w:numPr>
          <w:ilvl w:val="0"/>
          <w:numId w:val="44"/>
        </w:numPr>
        <w:spacing w:after="480" w:line="259" w:lineRule="auto"/>
      </w:pPr>
      <w:r w:rsidRPr="00A11021">
        <w:t>I byer og landsbyer, hvor der er lokale ønsker om flere fælles friarealer og lokal opbakning</w:t>
      </w:r>
      <w:r w:rsidR="0044009A" w:rsidRPr="00A11021">
        <w:t xml:space="preserve"> og engagement</w:t>
      </w:r>
      <w:r w:rsidRPr="00A11021">
        <w:t xml:space="preserve"> til anlæg af disse.   </w:t>
      </w:r>
    </w:p>
    <w:p w14:paraId="08F06FE1" w14:textId="77777777" w:rsidR="00873E87" w:rsidRPr="005A5DA7" w:rsidRDefault="00873E87" w:rsidP="004B1EC6">
      <w:pPr>
        <w:pStyle w:val="Overskrift4"/>
      </w:pPr>
      <w:r w:rsidRPr="005A5DA7">
        <w:lastRenderedPageBreak/>
        <w:t xml:space="preserve">Indretning af friarealer </w:t>
      </w:r>
    </w:p>
    <w:p w14:paraId="0B00B6BA" w14:textId="13C702DD" w:rsidR="00873E87" w:rsidRDefault="00873E87" w:rsidP="00873E87">
      <w:r>
        <w:t>Når der er sket nedrivning som følge af byfornyelsesloven, er der mulighed for at anvende</w:t>
      </w:r>
      <w:r w:rsidR="000F27B4">
        <w:t xml:space="preserve"> byfornyelsesmidler til</w:t>
      </w:r>
      <w:r>
        <w:t xml:space="preserve"> indretning af friareal. Dette kan bidrage til at sikre bedre rammer for fællesskab og udendørs ophold for borgerne, særligt i de byer hvor der er begrænsede med fællesarealer og bynære grønne områder. </w:t>
      </w:r>
    </w:p>
    <w:p w14:paraId="356EA296" w14:textId="554D4279" w:rsidR="00873E87" w:rsidRDefault="00873E87" w:rsidP="00873E87">
      <w:pPr>
        <w:pStyle w:val="Listeafsnit"/>
        <w:numPr>
          <w:ilvl w:val="0"/>
          <w:numId w:val="46"/>
        </w:numPr>
      </w:pPr>
      <w:r>
        <w:t xml:space="preserve">For arealer på under 2000 </w:t>
      </w:r>
      <w:r w:rsidRPr="00873E87">
        <w:t>m²</w:t>
      </w:r>
      <w:r>
        <w:t xml:space="preserve">, kan der anvendes op til 840 kr. pr. </w:t>
      </w:r>
      <w:r w:rsidRPr="00873E87">
        <w:t>m²</w:t>
      </w:r>
    </w:p>
    <w:p w14:paraId="706023FD" w14:textId="6025C0D6" w:rsidR="00873E87" w:rsidRDefault="00873E87" w:rsidP="00873E87">
      <w:pPr>
        <w:pStyle w:val="Listeafsnit"/>
        <w:numPr>
          <w:ilvl w:val="0"/>
          <w:numId w:val="46"/>
        </w:numPr>
      </w:pPr>
      <w:r>
        <w:t xml:space="preserve">For arealer på over 2000 </w:t>
      </w:r>
      <w:r w:rsidRPr="00873E87">
        <w:t>m²</w:t>
      </w:r>
      <w:r>
        <w:t xml:space="preserve"> kan anvendes op til </w:t>
      </w:r>
      <w:r w:rsidRPr="00873E87">
        <w:t>220 kr. pr. m²</w:t>
      </w:r>
      <w:r>
        <w:t xml:space="preserve"> </w:t>
      </w:r>
    </w:p>
    <w:p w14:paraId="33519666" w14:textId="210C5905" w:rsidR="00873E87" w:rsidRDefault="000E0E2D" w:rsidP="00873E87">
      <w:r>
        <w:t>Ved indretning af friarealer, er der fastsat et</w:t>
      </w:r>
      <w:r w:rsidR="00873E87">
        <w:t xml:space="preserve"> rammebeløb på maksimalt 400.000 kr. Rammebeløbet </w:t>
      </w:r>
      <w:r w:rsidR="00EE03DC">
        <w:t xml:space="preserve">udgør den maksimale </w:t>
      </w:r>
      <w:r w:rsidR="00873E87">
        <w:t xml:space="preserve">grænse for samtlige udgifter i forbindelse med områdets anlæg, herunder rydningsarbejde, efterreparationer, beskedne bygningsarbejder, møblering og etablering af grønt byrum. </w:t>
      </w:r>
    </w:p>
    <w:p w14:paraId="660256B8" w14:textId="2E81268C" w:rsidR="00ED10D8" w:rsidRDefault="00873E87" w:rsidP="00873E87">
      <w:r w:rsidRPr="00873E87">
        <w:t xml:space="preserve">Når et projekt om fælles friarealer </w:t>
      </w:r>
      <w:r>
        <w:t>er besluttet</w:t>
      </w:r>
      <w:r w:rsidRPr="00873E87">
        <w:t xml:space="preserve">, </w:t>
      </w:r>
      <w:r w:rsidRPr="005A5DA7">
        <w:t xml:space="preserve">skal </w:t>
      </w:r>
      <w:r w:rsidRPr="00873E87">
        <w:t>kommunen pålægge ejendo</w:t>
      </w:r>
      <w:r w:rsidRPr="005A5DA7">
        <w:t xml:space="preserve">mme, der omfattes af projektet, </w:t>
      </w:r>
      <w:r w:rsidRPr="00873E87">
        <w:t xml:space="preserve">nødvendige servitutter om udlæg af fælles friarealer og indretning af fællesanlæg for områdets bebyggelse samt om gennemførelsen af den fremtidige vedligeholdelse og drift. </w:t>
      </w:r>
    </w:p>
    <w:p w14:paraId="5C0399B3" w14:textId="02C5B82D" w:rsidR="00873E87" w:rsidRDefault="00873E87" w:rsidP="00873E87">
      <w:r>
        <w:t>På længere sigt bør</w:t>
      </w:r>
      <w:r w:rsidRPr="005A5DA7">
        <w:t xml:space="preserve"> friarealet sikres gennem lokalplanlægning eller ændring af kommuneplanens rammer. </w:t>
      </w:r>
    </w:p>
    <w:p w14:paraId="112C4F48" w14:textId="2BB09C68" w:rsidR="00873E87" w:rsidRDefault="000E0E2D" w:rsidP="00873E87">
      <w:r>
        <w:t>Det er et krav at arealet skal</w:t>
      </w:r>
      <w:r w:rsidR="00873E87">
        <w:t xml:space="preserve"> være offentlig tilgængeligt for alle byens borgere. </w:t>
      </w:r>
    </w:p>
    <w:p w14:paraId="6BEA3C2B" w14:textId="0547C486" w:rsidR="00873E87" w:rsidRPr="006A26E3" w:rsidRDefault="00873E87" w:rsidP="000E0E2D">
      <w:pPr>
        <w:pStyle w:val="Overskrift4"/>
        <w:rPr>
          <w:rFonts w:ascii="Calibri" w:hAnsi="Calibri"/>
        </w:rPr>
      </w:pPr>
      <w:r w:rsidRPr="00CF5918">
        <w:t>Fremtidig anvendelse af arealer</w:t>
      </w:r>
      <w:r>
        <w:t xml:space="preserve"> efter</w:t>
      </w:r>
      <w:r w:rsidR="00ED10D8">
        <w:t xml:space="preserve"> frivillig</w:t>
      </w:r>
      <w:r>
        <w:t xml:space="preserve"> nedrivning </w:t>
      </w:r>
    </w:p>
    <w:p w14:paraId="3FD6093B" w14:textId="4D0D700B" w:rsidR="00873E87" w:rsidRPr="00CF5918" w:rsidRDefault="00873E87" w:rsidP="00873E87">
      <w:r w:rsidRPr="00CF5918">
        <w:t>Det er muligt at tinglyse en deklaration på ejendommen</w:t>
      </w:r>
      <w:r w:rsidR="007A6EB2">
        <w:t>,</w:t>
      </w:r>
      <w:r w:rsidRPr="00CF5918">
        <w:t xml:space="preserve"> når der gives støtte til frivillige nedrivninger. Deklarationen kan indeholde bestemmelser om</w:t>
      </w:r>
      <w:r w:rsidR="007A6EB2">
        <w:t>,</w:t>
      </w:r>
      <w:r w:rsidRPr="00CF5918">
        <w:t xml:space="preserve"> at arealet ikke må bebygges eller at støttebeløbet tilbagebetales</w:t>
      </w:r>
      <w:r w:rsidR="007A6EB2">
        <w:t>,</w:t>
      </w:r>
      <w:r w:rsidRPr="00CF5918">
        <w:t xml:space="preserve"> såfremt ejendommen sælges med p</w:t>
      </w:r>
      <w:bookmarkStart w:id="0" w:name="_GoBack"/>
      <w:bookmarkEnd w:id="0"/>
      <w:r w:rsidRPr="00CF5918">
        <w:t xml:space="preserve">rofit indenfor en fastsat årrække på maksimalt 20 år. </w:t>
      </w:r>
    </w:p>
    <w:p w14:paraId="112CFDFE" w14:textId="659B106D" w:rsidR="00873E87" w:rsidRPr="00CF5918" w:rsidRDefault="00EE03DC" w:rsidP="00873E87">
      <w:r>
        <w:t>Det vil være uhensigtsmæssigt</w:t>
      </w:r>
      <w:r w:rsidR="007A6EB2">
        <w:t>,</w:t>
      </w:r>
      <w:r w:rsidR="00873E87">
        <w:t xml:space="preserve"> at der fastsættes samme muligheder for alle ejendomme, da forholdene</w:t>
      </w:r>
      <w:r w:rsidR="00873E87" w:rsidRPr="00CF5918">
        <w:t xml:space="preserve"> i landsbyerne er forskellige. I nogle landsbyer vil det være hensigtsmæssigt</w:t>
      </w:r>
      <w:r w:rsidR="007A6EB2">
        <w:t>,</w:t>
      </w:r>
      <w:r w:rsidR="00873E87" w:rsidRPr="00CF5918">
        <w:t xml:space="preserve"> at der kan etableres nye boliger på arealer</w:t>
      </w:r>
      <w:r w:rsidR="007A6EB2">
        <w:t>,</w:t>
      </w:r>
      <w:r w:rsidR="00873E87" w:rsidRPr="00CF5918">
        <w:t xml:space="preserve"> hvor der nedrives ejendomme. I andre byer, vil det være mere hensigtsmæssigt at tilvejebringe friarealer, hvis byen ikke har tilstrækkeligt af disse. </w:t>
      </w:r>
      <w:r w:rsidR="005C555A">
        <w:t>A</w:t>
      </w:r>
      <w:r w:rsidR="00873E87" w:rsidRPr="00CF5918">
        <w:t>lmenvellets interesser belyses i sager, hvor der gives støtte til frivillige nedrivninger</w:t>
      </w:r>
      <w:r w:rsidR="005C555A">
        <w:t xml:space="preserve"> og</w:t>
      </w:r>
      <w:r w:rsidR="00873E87">
        <w:t xml:space="preserve"> </w:t>
      </w:r>
      <w:r w:rsidR="00747B18">
        <w:t>helheds</w:t>
      </w:r>
      <w:r w:rsidR="00873E87">
        <w:t>vurderingen for</w:t>
      </w:r>
      <w:r>
        <w:t>e</w:t>
      </w:r>
      <w:r w:rsidR="00873E87">
        <w:t xml:space="preserve">lægges </w:t>
      </w:r>
      <w:r w:rsidR="005C555A">
        <w:t>landdistrikts</w:t>
      </w:r>
      <w:r w:rsidR="00873E87">
        <w:t>udvalget.</w:t>
      </w:r>
      <w:r w:rsidR="00873E87" w:rsidRPr="00CF5918">
        <w:t xml:space="preserve"> Herunder eksempler på faglige vurderinger og forskellige hensyn: </w:t>
      </w:r>
    </w:p>
    <w:p w14:paraId="0618BFC9" w14:textId="32792C18" w:rsidR="00873E87" w:rsidRDefault="00873E87" w:rsidP="00873E87">
      <w:pPr>
        <w:pStyle w:val="Listeafsnit"/>
        <w:numPr>
          <w:ilvl w:val="0"/>
          <w:numId w:val="42"/>
        </w:numPr>
        <w:spacing w:after="480" w:line="259" w:lineRule="auto"/>
      </w:pPr>
      <w:r>
        <w:t>En skæmmende bygninger er beliggende langs en hovedgade med sammenhængende bygningsfacader. I dette tilfælde kan det være hensigtsmæssigt</w:t>
      </w:r>
      <w:r w:rsidR="007A6EB2">
        <w:t>,</w:t>
      </w:r>
      <w:r>
        <w:t xml:space="preserve"> at der på sigt opføres en ny bygning, så gaden bibeholder sin sammenhængende rytme og udtryk. </w:t>
      </w:r>
    </w:p>
    <w:p w14:paraId="7E823292" w14:textId="6D9D6AA9" w:rsidR="00873E87" w:rsidRDefault="00873E87" w:rsidP="00873E87">
      <w:pPr>
        <w:pStyle w:val="Listeafsnit"/>
        <w:numPr>
          <w:ilvl w:val="0"/>
          <w:numId w:val="42"/>
        </w:numPr>
        <w:spacing w:after="480" w:line="259" w:lineRule="auto"/>
      </w:pPr>
      <w:r>
        <w:t>En skæmmende bygning er beliggende i en landsby med få eller ingen rekreative bynære fællesarealer. Det vil være hensigtsmæssigt</w:t>
      </w:r>
      <w:r w:rsidR="007A6EB2">
        <w:t>,</w:t>
      </w:r>
      <w:r>
        <w:t xml:space="preserve"> at ejendommen opkøbes med henblik på nedrivning og indretning af fælles grønt byrum. </w:t>
      </w:r>
    </w:p>
    <w:p w14:paraId="63DAFFDA" w14:textId="77777777" w:rsidR="00873E87" w:rsidRDefault="00873E87" w:rsidP="00873E87">
      <w:pPr>
        <w:pStyle w:val="Listeafsnit"/>
        <w:numPr>
          <w:ilvl w:val="0"/>
          <w:numId w:val="42"/>
        </w:numPr>
        <w:spacing w:after="480" w:line="259" w:lineRule="auto"/>
      </w:pPr>
      <w:r>
        <w:t xml:space="preserve">En skæmmende bygning er beliggende i en landsby hvor der kun er få muligheder for huludfyldning og nyt boligbyggeri. Nedrivning kan på sigt bidrage til at sikre mulighed for nyt byggeri indenfor landsbyafgrænsningen. </w:t>
      </w:r>
    </w:p>
    <w:p w14:paraId="63962EED" w14:textId="13B9BFB3" w:rsidR="00873E87" w:rsidRDefault="00873E87" w:rsidP="00873E87">
      <w:pPr>
        <w:pStyle w:val="Listeafsnit"/>
        <w:numPr>
          <w:ilvl w:val="0"/>
          <w:numId w:val="42"/>
        </w:numPr>
        <w:spacing w:after="480" w:line="259" w:lineRule="auto"/>
      </w:pPr>
      <w:r>
        <w:t xml:space="preserve">En skæmmende bygning er beliggende i en mindre </w:t>
      </w:r>
      <w:r w:rsidR="00ED22CB">
        <w:t>lands</w:t>
      </w:r>
      <w:r>
        <w:t xml:space="preserve">by, hvor der er ønske om at etablere alternative boformer og bofællesskaber. </w:t>
      </w:r>
      <w:r w:rsidR="00ED22CB">
        <w:t>Hvis byen har en ensartet boligmasse, kan n</w:t>
      </w:r>
      <w:r>
        <w:t xml:space="preserve">edrivning af større ejendomme kan på sigt give plads til mere varierede boformer. </w:t>
      </w:r>
    </w:p>
    <w:p w14:paraId="67F5EEAD" w14:textId="4B11BC58" w:rsidR="00073084" w:rsidRDefault="00873E87" w:rsidP="003B24C8">
      <w:pPr>
        <w:pStyle w:val="Listeafsnit"/>
        <w:numPr>
          <w:ilvl w:val="0"/>
          <w:numId w:val="42"/>
        </w:numPr>
        <w:spacing w:after="480" w:line="259" w:lineRule="auto"/>
      </w:pPr>
      <w:r>
        <w:lastRenderedPageBreak/>
        <w:t>En skæmmende bygning er beliggende i et særligt værdifuldt landskab. Det kan være hensigtsmæssigt</w:t>
      </w:r>
      <w:r w:rsidR="007A6EB2">
        <w:t>,</w:t>
      </w:r>
      <w:r>
        <w:t xml:space="preserve"> at der tinglyses en deklarationen, der sikrer at landskabet bevares uden nyt byggeri. </w:t>
      </w:r>
    </w:p>
    <w:p w14:paraId="09815038" w14:textId="77777777" w:rsidR="00ED10D8" w:rsidRPr="00ED10D8" w:rsidRDefault="00ED10D8" w:rsidP="00957DFF">
      <w:pPr>
        <w:pStyle w:val="Overskrift4"/>
      </w:pPr>
      <w:r w:rsidRPr="00ED10D8">
        <w:t>Fremtidig anvendelse af opkøbte ejendomme</w:t>
      </w:r>
    </w:p>
    <w:p w14:paraId="00A1146B" w14:textId="5FAB1C50" w:rsidR="00ED10D8" w:rsidRDefault="00ED10D8" w:rsidP="00ED10D8">
      <w:r w:rsidRPr="003D192B">
        <w:t>I de fleste landsbyers tilfælde vil det under hensyn til markedsefterspørgsel, være hensigtsmæssigt at arealet indrettes til fælles friareal. Efter</w:t>
      </w:r>
      <w:r>
        <w:t xml:space="preserve"> opkøb og nedrivning, er der også mulighed for at arealet sættes til salg som byggegrund. I nogle landsbyer er der kun begrænsede muligheder for nybyg, og derfor kan denne løsning være hensigtsmæssigt på sigt.</w:t>
      </w:r>
    </w:p>
    <w:p w14:paraId="7EC9F624" w14:textId="7D09D7CB" w:rsidR="005C555A" w:rsidRPr="00ED10D8" w:rsidRDefault="005C555A" w:rsidP="00ED10D8">
      <w:pPr>
        <w:rPr>
          <w:b/>
        </w:rPr>
      </w:pPr>
      <w:r>
        <w:t>A</w:t>
      </w:r>
      <w:r w:rsidRPr="00CF5918">
        <w:t xml:space="preserve">lmenvellets interesser belyses i sager, hvor </w:t>
      </w:r>
      <w:r>
        <w:t xml:space="preserve">der sker opkøb med henblik på nedrivning. Helhedsvurderingen forlægges landdistriktsudvalget. </w:t>
      </w:r>
    </w:p>
    <w:p w14:paraId="3355ED9A" w14:textId="487FF5DC" w:rsidR="006B4019" w:rsidRPr="00402AE3" w:rsidRDefault="006B4019" w:rsidP="006B4019"/>
    <w:sectPr w:rsidR="006B4019" w:rsidRPr="00402A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40A"/>
    <w:multiLevelType w:val="hybridMultilevel"/>
    <w:tmpl w:val="2FB211C8"/>
    <w:lvl w:ilvl="0" w:tplc="F7E81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F76"/>
    <w:multiLevelType w:val="hybridMultilevel"/>
    <w:tmpl w:val="535E9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F92"/>
    <w:multiLevelType w:val="hybridMultilevel"/>
    <w:tmpl w:val="764E2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7E10"/>
    <w:multiLevelType w:val="hybridMultilevel"/>
    <w:tmpl w:val="BC046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A8B"/>
    <w:multiLevelType w:val="hybridMultilevel"/>
    <w:tmpl w:val="F6721A98"/>
    <w:lvl w:ilvl="0" w:tplc="B5F2A752">
      <w:numFmt w:val="bullet"/>
      <w:lvlText w:val="-"/>
      <w:lvlJc w:val="left"/>
      <w:pPr>
        <w:tabs>
          <w:tab w:val="num" w:pos="4125"/>
        </w:tabs>
        <w:ind w:left="4125" w:hanging="363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4810"/>
    <w:multiLevelType w:val="hybridMultilevel"/>
    <w:tmpl w:val="93CEB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912"/>
    <w:multiLevelType w:val="multilevel"/>
    <w:tmpl w:val="BDC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64ABD"/>
    <w:multiLevelType w:val="hybridMultilevel"/>
    <w:tmpl w:val="098A3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653B"/>
    <w:multiLevelType w:val="hybridMultilevel"/>
    <w:tmpl w:val="BBCAA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9B8"/>
    <w:multiLevelType w:val="hybridMultilevel"/>
    <w:tmpl w:val="2BCA378E"/>
    <w:lvl w:ilvl="0" w:tplc="3CF012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5A19"/>
    <w:multiLevelType w:val="hybridMultilevel"/>
    <w:tmpl w:val="E01AE692"/>
    <w:lvl w:ilvl="0" w:tplc="FB9C12A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8C713C3"/>
    <w:multiLevelType w:val="hybridMultilevel"/>
    <w:tmpl w:val="CA0CC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E23"/>
    <w:multiLevelType w:val="hybridMultilevel"/>
    <w:tmpl w:val="274CEAB2"/>
    <w:lvl w:ilvl="0" w:tplc="016AB8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5C88"/>
    <w:multiLevelType w:val="hybridMultilevel"/>
    <w:tmpl w:val="12DE4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32DE2"/>
    <w:multiLevelType w:val="hybridMultilevel"/>
    <w:tmpl w:val="3D264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762"/>
    <w:multiLevelType w:val="hybridMultilevel"/>
    <w:tmpl w:val="34A4C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3D88"/>
    <w:multiLevelType w:val="hybridMultilevel"/>
    <w:tmpl w:val="6AB87C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1A0C"/>
    <w:multiLevelType w:val="hybridMultilevel"/>
    <w:tmpl w:val="E08A99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4372B"/>
    <w:multiLevelType w:val="hybridMultilevel"/>
    <w:tmpl w:val="73785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A4B9"/>
    <w:multiLevelType w:val="hybridMultilevel"/>
    <w:tmpl w:val="FFFFFFFF"/>
    <w:lvl w:ilvl="0" w:tplc="2295B722">
      <w:start w:val="1"/>
      <w:numFmt w:val="decimal"/>
      <w:lvlText w:val="%1."/>
      <w:lvlJc w:val="left"/>
      <w:pPr>
        <w:ind w:left="720" w:hanging="360"/>
      </w:pPr>
    </w:lvl>
    <w:lvl w:ilvl="1" w:tplc="40723BB5">
      <w:start w:val="1"/>
      <w:numFmt w:val="decimal"/>
      <w:lvlText w:val="%2."/>
      <w:lvlJc w:val="left"/>
      <w:pPr>
        <w:ind w:left="1440" w:hanging="360"/>
      </w:pPr>
    </w:lvl>
    <w:lvl w:ilvl="2" w:tplc="22EC522C">
      <w:start w:val="1"/>
      <w:numFmt w:val="decimal"/>
      <w:lvlText w:val="%3."/>
      <w:lvlJc w:val="left"/>
      <w:pPr>
        <w:ind w:left="2160" w:hanging="360"/>
      </w:pPr>
    </w:lvl>
    <w:lvl w:ilvl="3" w:tplc="4D2024D0">
      <w:start w:val="1"/>
      <w:numFmt w:val="decimal"/>
      <w:lvlText w:val="%4."/>
      <w:lvlJc w:val="left"/>
      <w:pPr>
        <w:ind w:left="2880" w:hanging="360"/>
      </w:pPr>
    </w:lvl>
    <w:lvl w:ilvl="4" w:tplc="42077C6C">
      <w:start w:val="1"/>
      <w:numFmt w:val="decimal"/>
      <w:lvlText w:val="%5."/>
      <w:lvlJc w:val="left"/>
      <w:pPr>
        <w:ind w:left="3600" w:hanging="360"/>
      </w:pPr>
    </w:lvl>
    <w:lvl w:ilvl="5" w:tplc="52BD997B">
      <w:start w:val="1"/>
      <w:numFmt w:val="decimal"/>
      <w:lvlText w:val="%6."/>
      <w:lvlJc w:val="left"/>
      <w:pPr>
        <w:ind w:left="4320" w:hanging="360"/>
      </w:pPr>
    </w:lvl>
    <w:lvl w:ilvl="6" w:tplc="25193197">
      <w:start w:val="1"/>
      <w:numFmt w:val="decimal"/>
      <w:lvlText w:val="%7."/>
      <w:lvlJc w:val="left"/>
      <w:pPr>
        <w:ind w:left="5040" w:hanging="360"/>
      </w:pPr>
    </w:lvl>
    <w:lvl w:ilvl="7" w:tplc="06837B2F">
      <w:start w:val="1"/>
      <w:numFmt w:val="decimal"/>
      <w:lvlText w:val="%8."/>
      <w:lvlJc w:val="left"/>
      <w:pPr>
        <w:ind w:left="5760" w:hanging="360"/>
      </w:pPr>
    </w:lvl>
    <w:lvl w:ilvl="8" w:tplc="69875201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90D713D"/>
    <w:multiLevelType w:val="hybridMultilevel"/>
    <w:tmpl w:val="FF9CC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21475"/>
    <w:multiLevelType w:val="hybridMultilevel"/>
    <w:tmpl w:val="F3269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263A5"/>
    <w:multiLevelType w:val="hybridMultilevel"/>
    <w:tmpl w:val="DF24E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E2E87"/>
    <w:multiLevelType w:val="hybridMultilevel"/>
    <w:tmpl w:val="4E487A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B5C"/>
    <w:multiLevelType w:val="hybridMultilevel"/>
    <w:tmpl w:val="78A83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16F4A"/>
    <w:multiLevelType w:val="hybridMultilevel"/>
    <w:tmpl w:val="8E944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66709"/>
    <w:multiLevelType w:val="hybridMultilevel"/>
    <w:tmpl w:val="F55EAE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C5577"/>
    <w:multiLevelType w:val="hybridMultilevel"/>
    <w:tmpl w:val="03CE7256"/>
    <w:lvl w:ilvl="0" w:tplc="D714D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C6902"/>
    <w:multiLevelType w:val="hybridMultilevel"/>
    <w:tmpl w:val="7ADCB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696"/>
    <w:multiLevelType w:val="hybridMultilevel"/>
    <w:tmpl w:val="49A8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92A81"/>
    <w:multiLevelType w:val="hybridMultilevel"/>
    <w:tmpl w:val="25DA8AA2"/>
    <w:lvl w:ilvl="0" w:tplc="2738D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4536"/>
    <w:multiLevelType w:val="hybridMultilevel"/>
    <w:tmpl w:val="BF9C3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7396"/>
    <w:multiLevelType w:val="hybridMultilevel"/>
    <w:tmpl w:val="2DC06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A7491"/>
    <w:multiLevelType w:val="hybridMultilevel"/>
    <w:tmpl w:val="3C001F04"/>
    <w:lvl w:ilvl="0" w:tplc="FA6EFDD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3D15F2"/>
    <w:multiLevelType w:val="hybridMultilevel"/>
    <w:tmpl w:val="4CC46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E0B15"/>
    <w:multiLevelType w:val="hybridMultilevel"/>
    <w:tmpl w:val="B8FAE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7001C"/>
    <w:multiLevelType w:val="multilevel"/>
    <w:tmpl w:val="D9C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3E1D9E"/>
    <w:multiLevelType w:val="hybridMultilevel"/>
    <w:tmpl w:val="C39E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C7760"/>
    <w:multiLevelType w:val="hybridMultilevel"/>
    <w:tmpl w:val="9A3A2E0A"/>
    <w:lvl w:ilvl="0" w:tplc="FBF6C7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9669D"/>
    <w:multiLevelType w:val="hybridMultilevel"/>
    <w:tmpl w:val="B9C410D8"/>
    <w:lvl w:ilvl="0" w:tplc="E6C6D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113C2"/>
    <w:multiLevelType w:val="hybridMultilevel"/>
    <w:tmpl w:val="7EC26BFC"/>
    <w:lvl w:ilvl="0" w:tplc="4476B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3658E"/>
    <w:multiLevelType w:val="hybridMultilevel"/>
    <w:tmpl w:val="A00C5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76B5"/>
    <w:multiLevelType w:val="hybridMultilevel"/>
    <w:tmpl w:val="95F68B7C"/>
    <w:lvl w:ilvl="0" w:tplc="C1CC4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73644"/>
    <w:multiLevelType w:val="hybridMultilevel"/>
    <w:tmpl w:val="5E3813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C568D"/>
    <w:multiLevelType w:val="hybridMultilevel"/>
    <w:tmpl w:val="6EB20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E1FB4"/>
    <w:multiLevelType w:val="hybridMultilevel"/>
    <w:tmpl w:val="4D123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"/>
  </w:num>
  <w:num w:numId="4">
    <w:abstractNumId w:val="4"/>
  </w:num>
  <w:num w:numId="5">
    <w:abstractNumId w:val="41"/>
  </w:num>
  <w:num w:numId="6">
    <w:abstractNumId w:val="20"/>
  </w:num>
  <w:num w:numId="7">
    <w:abstractNumId w:val="23"/>
  </w:num>
  <w:num w:numId="8">
    <w:abstractNumId w:val="8"/>
  </w:num>
  <w:num w:numId="9">
    <w:abstractNumId w:val="32"/>
  </w:num>
  <w:num w:numId="10">
    <w:abstractNumId w:val="2"/>
  </w:num>
  <w:num w:numId="11">
    <w:abstractNumId w:val="5"/>
  </w:num>
  <w:num w:numId="12">
    <w:abstractNumId w:val="33"/>
  </w:num>
  <w:num w:numId="13">
    <w:abstractNumId w:val="35"/>
  </w:num>
  <w:num w:numId="14">
    <w:abstractNumId w:val="36"/>
  </w:num>
  <w:num w:numId="15">
    <w:abstractNumId w:val="38"/>
  </w:num>
  <w:num w:numId="16">
    <w:abstractNumId w:val="12"/>
  </w:num>
  <w:num w:numId="17">
    <w:abstractNumId w:val="9"/>
  </w:num>
  <w:num w:numId="18">
    <w:abstractNumId w:val="11"/>
  </w:num>
  <w:num w:numId="19">
    <w:abstractNumId w:val="28"/>
  </w:num>
  <w:num w:numId="20">
    <w:abstractNumId w:val="30"/>
  </w:num>
  <w:num w:numId="21">
    <w:abstractNumId w:val="43"/>
  </w:num>
  <w:num w:numId="22">
    <w:abstractNumId w:val="39"/>
  </w:num>
  <w:num w:numId="23">
    <w:abstractNumId w:val="27"/>
  </w:num>
  <w:num w:numId="24">
    <w:abstractNumId w:val="26"/>
  </w:num>
  <w:num w:numId="25">
    <w:abstractNumId w:val="3"/>
  </w:num>
  <w:num w:numId="26">
    <w:abstractNumId w:val="40"/>
  </w:num>
  <w:num w:numId="27">
    <w:abstractNumId w:val="16"/>
  </w:num>
  <w:num w:numId="28">
    <w:abstractNumId w:val="10"/>
  </w:num>
  <w:num w:numId="29">
    <w:abstractNumId w:val="13"/>
  </w:num>
  <w:num w:numId="30">
    <w:abstractNumId w:val="34"/>
  </w:num>
  <w:num w:numId="31">
    <w:abstractNumId w:val="44"/>
  </w:num>
  <w:num w:numId="32">
    <w:abstractNumId w:val="25"/>
  </w:num>
  <w:num w:numId="33">
    <w:abstractNumId w:val="19"/>
  </w:num>
  <w:num w:numId="34">
    <w:abstractNumId w:val="0"/>
  </w:num>
  <w:num w:numId="35">
    <w:abstractNumId w:val="15"/>
  </w:num>
  <w:num w:numId="36">
    <w:abstractNumId w:val="45"/>
  </w:num>
  <w:num w:numId="37">
    <w:abstractNumId w:val="31"/>
  </w:num>
  <w:num w:numId="38">
    <w:abstractNumId w:val="18"/>
  </w:num>
  <w:num w:numId="39">
    <w:abstractNumId w:val="37"/>
  </w:num>
  <w:num w:numId="40">
    <w:abstractNumId w:val="21"/>
  </w:num>
  <w:num w:numId="41">
    <w:abstractNumId w:val="14"/>
  </w:num>
  <w:num w:numId="42">
    <w:abstractNumId w:val="1"/>
  </w:num>
  <w:num w:numId="43">
    <w:abstractNumId w:val="17"/>
  </w:num>
  <w:num w:numId="44">
    <w:abstractNumId w:val="29"/>
  </w:num>
  <w:num w:numId="45">
    <w:abstractNumId w:val="7"/>
  </w:num>
  <w:num w:numId="46">
    <w:abstractNumId w:val="2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1"/>
    <w:rsid w:val="000011D0"/>
    <w:rsid w:val="00003CC2"/>
    <w:rsid w:val="00007E01"/>
    <w:rsid w:val="00016DA1"/>
    <w:rsid w:val="00030093"/>
    <w:rsid w:val="00036600"/>
    <w:rsid w:val="00042964"/>
    <w:rsid w:val="00054427"/>
    <w:rsid w:val="00066EFF"/>
    <w:rsid w:val="00073084"/>
    <w:rsid w:val="0007313A"/>
    <w:rsid w:val="00074173"/>
    <w:rsid w:val="0009662A"/>
    <w:rsid w:val="00096C20"/>
    <w:rsid w:val="000A13A6"/>
    <w:rsid w:val="000B34B6"/>
    <w:rsid w:val="000C3B31"/>
    <w:rsid w:val="000D7EB9"/>
    <w:rsid w:val="000E0E2D"/>
    <w:rsid w:val="000F0F44"/>
    <w:rsid w:val="000F27B4"/>
    <w:rsid w:val="00103615"/>
    <w:rsid w:val="0011322D"/>
    <w:rsid w:val="00130C31"/>
    <w:rsid w:val="00135AA8"/>
    <w:rsid w:val="001365AA"/>
    <w:rsid w:val="001568EF"/>
    <w:rsid w:val="001819BF"/>
    <w:rsid w:val="00182A98"/>
    <w:rsid w:val="0018613C"/>
    <w:rsid w:val="00192E45"/>
    <w:rsid w:val="001C0063"/>
    <w:rsid w:val="001C24E4"/>
    <w:rsid w:val="001C437B"/>
    <w:rsid w:val="00201374"/>
    <w:rsid w:val="00207E08"/>
    <w:rsid w:val="002108D9"/>
    <w:rsid w:val="00226E09"/>
    <w:rsid w:val="00237854"/>
    <w:rsid w:val="00242965"/>
    <w:rsid w:val="00253D49"/>
    <w:rsid w:val="00256E8E"/>
    <w:rsid w:val="0027397F"/>
    <w:rsid w:val="00283801"/>
    <w:rsid w:val="00287BF6"/>
    <w:rsid w:val="002A70D6"/>
    <w:rsid w:val="002C069A"/>
    <w:rsid w:val="002E03CA"/>
    <w:rsid w:val="002F348A"/>
    <w:rsid w:val="0031155D"/>
    <w:rsid w:val="00334625"/>
    <w:rsid w:val="00364A19"/>
    <w:rsid w:val="00387E9B"/>
    <w:rsid w:val="00390615"/>
    <w:rsid w:val="00392E32"/>
    <w:rsid w:val="003A4838"/>
    <w:rsid w:val="003B24C8"/>
    <w:rsid w:val="003B3CC0"/>
    <w:rsid w:val="003C3706"/>
    <w:rsid w:val="003D192B"/>
    <w:rsid w:val="003F6B93"/>
    <w:rsid w:val="0040189B"/>
    <w:rsid w:val="00402AE3"/>
    <w:rsid w:val="00402CF3"/>
    <w:rsid w:val="00403A72"/>
    <w:rsid w:val="00411F73"/>
    <w:rsid w:val="00422EBC"/>
    <w:rsid w:val="00423816"/>
    <w:rsid w:val="00423D99"/>
    <w:rsid w:val="00431DF8"/>
    <w:rsid w:val="0043719B"/>
    <w:rsid w:val="0044009A"/>
    <w:rsid w:val="00441361"/>
    <w:rsid w:val="00446878"/>
    <w:rsid w:val="00446BD7"/>
    <w:rsid w:val="0044724E"/>
    <w:rsid w:val="004553B7"/>
    <w:rsid w:val="004560BC"/>
    <w:rsid w:val="00456E59"/>
    <w:rsid w:val="00463FF3"/>
    <w:rsid w:val="00467357"/>
    <w:rsid w:val="00476410"/>
    <w:rsid w:val="004935A9"/>
    <w:rsid w:val="00494112"/>
    <w:rsid w:val="004B1EC6"/>
    <w:rsid w:val="004D20E5"/>
    <w:rsid w:val="004D2AD1"/>
    <w:rsid w:val="004D4995"/>
    <w:rsid w:val="004D4DAB"/>
    <w:rsid w:val="004E7283"/>
    <w:rsid w:val="004F10F0"/>
    <w:rsid w:val="005074B7"/>
    <w:rsid w:val="0051116F"/>
    <w:rsid w:val="00524726"/>
    <w:rsid w:val="00526AB9"/>
    <w:rsid w:val="005373A1"/>
    <w:rsid w:val="00543877"/>
    <w:rsid w:val="0057745E"/>
    <w:rsid w:val="00587D9E"/>
    <w:rsid w:val="00591B8E"/>
    <w:rsid w:val="00591E37"/>
    <w:rsid w:val="00595ACC"/>
    <w:rsid w:val="00596553"/>
    <w:rsid w:val="005C555A"/>
    <w:rsid w:val="005C695E"/>
    <w:rsid w:val="005E503E"/>
    <w:rsid w:val="005E5168"/>
    <w:rsid w:val="00603464"/>
    <w:rsid w:val="0062339D"/>
    <w:rsid w:val="00625ADC"/>
    <w:rsid w:val="00626783"/>
    <w:rsid w:val="00630E2B"/>
    <w:rsid w:val="00636996"/>
    <w:rsid w:val="00642561"/>
    <w:rsid w:val="00656650"/>
    <w:rsid w:val="006574A8"/>
    <w:rsid w:val="00661815"/>
    <w:rsid w:val="006620B7"/>
    <w:rsid w:val="006641FE"/>
    <w:rsid w:val="006664B4"/>
    <w:rsid w:val="00666562"/>
    <w:rsid w:val="00672FFB"/>
    <w:rsid w:val="0067785A"/>
    <w:rsid w:val="00680F91"/>
    <w:rsid w:val="0069070D"/>
    <w:rsid w:val="00690DCC"/>
    <w:rsid w:val="00690FFA"/>
    <w:rsid w:val="006B4019"/>
    <w:rsid w:val="006B77DE"/>
    <w:rsid w:val="006D0956"/>
    <w:rsid w:val="006D47CF"/>
    <w:rsid w:val="006F6230"/>
    <w:rsid w:val="007068B1"/>
    <w:rsid w:val="0071241A"/>
    <w:rsid w:val="007254CA"/>
    <w:rsid w:val="00726F92"/>
    <w:rsid w:val="00747B18"/>
    <w:rsid w:val="00763449"/>
    <w:rsid w:val="0076730B"/>
    <w:rsid w:val="007805B5"/>
    <w:rsid w:val="00795310"/>
    <w:rsid w:val="007A6EB2"/>
    <w:rsid w:val="007B72C3"/>
    <w:rsid w:val="007C6508"/>
    <w:rsid w:val="007D3FC8"/>
    <w:rsid w:val="00807EB2"/>
    <w:rsid w:val="00816935"/>
    <w:rsid w:val="00836F71"/>
    <w:rsid w:val="00837E2B"/>
    <w:rsid w:val="008433CD"/>
    <w:rsid w:val="00846BA1"/>
    <w:rsid w:val="00850ED6"/>
    <w:rsid w:val="008665D5"/>
    <w:rsid w:val="00871B13"/>
    <w:rsid w:val="00873E87"/>
    <w:rsid w:val="00880187"/>
    <w:rsid w:val="008814DF"/>
    <w:rsid w:val="00885CA0"/>
    <w:rsid w:val="008B4EE6"/>
    <w:rsid w:val="008B679A"/>
    <w:rsid w:val="008C73E5"/>
    <w:rsid w:val="008D65E3"/>
    <w:rsid w:val="008E6403"/>
    <w:rsid w:val="008F299C"/>
    <w:rsid w:val="008F4245"/>
    <w:rsid w:val="00905EF9"/>
    <w:rsid w:val="00911ACB"/>
    <w:rsid w:val="0091312B"/>
    <w:rsid w:val="00927D7D"/>
    <w:rsid w:val="0093203D"/>
    <w:rsid w:val="00950A3D"/>
    <w:rsid w:val="00953CC5"/>
    <w:rsid w:val="009558C1"/>
    <w:rsid w:val="00957DFF"/>
    <w:rsid w:val="009A2D6D"/>
    <w:rsid w:val="009A48B2"/>
    <w:rsid w:val="009B4278"/>
    <w:rsid w:val="009B76EF"/>
    <w:rsid w:val="009D5301"/>
    <w:rsid w:val="009D6731"/>
    <w:rsid w:val="009F137F"/>
    <w:rsid w:val="009F14B1"/>
    <w:rsid w:val="009F28E0"/>
    <w:rsid w:val="009F3B58"/>
    <w:rsid w:val="00A04331"/>
    <w:rsid w:val="00A11021"/>
    <w:rsid w:val="00A146A0"/>
    <w:rsid w:val="00A228F4"/>
    <w:rsid w:val="00A236A6"/>
    <w:rsid w:val="00A23E64"/>
    <w:rsid w:val="00A25F17"/>
    <w:rsid w:val="00A30787"/>
    <w:rsid w:val="00A62C1E"/>
    <w:rsid w:val="00A701B7"/>
    <w:rsid w:val="00A923DA"/>
    <w:rsid w:val="00AA0CD9"/>
    <w:rsid w:val="00AA13D0"/>
    <w:rsid w:val="00AA65F4"/>
    <w:rsid w:val="00AB6C61"/>
    <w:rsid w:val="00AB7102"/>
    <w:rsid w:val="00AD69FD"/>
    <w:rsid w:val="00AE1E62"/>
    <w:rsid w:val="00AE2E89"/>
    <w:rsid w:val="00AE2FA1"/>
    <w:rsid w:val="00AE5DEE"/>
    <w:rsid w:val="00AE7A55"/>
    <w:rsid w:val="00B06621"/>
    <w:rsid w:val="00B12730"/>
    <w:rsid w:val="00B26E15"/>
    <w:rsid w:val="00B530C5"/>
    <w:rsid w:val="00B55043"/>
    <w:rsid w:val="00B56236"/>
    <w:rsid w:val="00B60221"/>
    <w:rsid w:val="00B615B1"/>
    <w:rsid w:val="00BA0160"/>
    <w:rsid w:val="00BA5BCF"/>
    <w:rsid w:val="00BA769F"/>
    <w:rsid w:val="00BB060C"/>
    <w:rsid w:val="00BB1506"/>
    <w:rsid w:val="00BB315E"/>
    <w:rsid w:val="00BC7830"/>
    <w:rsid w:val="00BD7845"/>
    <w:rsid w:val="00BE0617"/>
    <w:rsid w:val="00BE1502"/>
    <w:rsid w:val="00BE41A2"/>
    <w:rsid w:val="00BE5F1B"/>
    <w:rsid w:val="00C13016"/>
    <w:rsid w:val="00C161AE"/>
    <w:rsid w:val="00C23530"/>
    <w:rsid w:val="00C34111"/>
    <w:rsid w:val="00C35BBA"/>
    <w:rsid w:val="00C46766"/>
    <w:rsid w:val="00C62C2B"/>
    <w:rsid w:val="00C650C1"/>
    <w:rsid w:val="00C721B3"/>
    <w:rsid w:val="00CA0F9E"/>
    <w:rsid w:val="00CA12C6"/>
    <w:rsid w:val="00CB0BD6"/>
    <w:rsid w:val="00CB1ABF"/>
    <w:rsid w:val="00CB4D20"/>
    <w:rsid w:val="00CC213E"/>
    <w:rsid w:val="00CC29C1"/>
    <w:rsid w:val="00CD2D03"/>
    <w:rsid w:val="00CE03FD"/>
    <w:rsid w:val="00CF62FF"/>
    <w:rsid w:val="00CF67F9"/>
    <w:rsid w:val="00D212A5"/>
    <w:rsid w:val="00D21AD3"/>
    <w:rsid w:val="00D257C1"/>
    <w:rsid w:val="00D25F99"/>
    <w:rsid w:val="00D34548"/>
    <w:rsid w:val="00D46A90"/>
    <w:rsid w:val="00D64CAE"/>
    <w:rsid w:val="00D710A3"/>
    <w:rsid w:val="00D74A41"/>
    <w:rsid w:val="00D773CD"/>
    <w:rsid w:val="00D8188C"/>
    <w:rsid w:val="00D93A38"/>
    <w:rsid w:val="00D96BBF"/>
    <w:rsid w:val="00DA3E9B"/>
    <w:rsid w:val="00DB2545"/>
    <w:rsid w:val="00DD6F36"/>
    <w:rsid w:val="00DE175D"/>
    <w:rsid w:val="00DE5C42"/>
    <w:rsid w:val="00DF3B69"/>
    <w:rsid w:val="00DF4D1B"/>
    <w:rsid w:val="00DF572C"/>
    <w:rsid w:val="00E040C1"/>
    <w:rsid w:val="00E1680E"/>
    <w:rsid w:val="00E26055"/>
    <w:rsid w:val="00E82A29"/>
    <w:rsid w:val="00E90985"/>
    <w:rsid w:val="00E93B3D"/>
    <w:rsid w:val="00E9452F"/>
    <w:rsid w:val="00EB087E"/>
    <w:rsid w:val="00EB68B6"/>
    <w:rsid w:val="00EC0D75"/>
    <w:rsid w:val="00EC751E"/>
    <w:rsid w:val="00ED10D8"/>
    <w:rsid w:val="00ED22CB"/>
    <w:rsid w:val="00EE03AF"/>
    <w:rsid w:val="00EE03DC"/>
    <w:rsid w:val="00EE5EB3"/>
    <w:rsid w:val="00EE5EFA"/>
    <w:rsid w:val="00EE5F90"/>
    <w:rsid w:val="00EF0887"/>
    <w:rsid w:val="00F03242"/>
    <w:rsid w:val="00F1066B"/>
    <w:rsid w:val="00F172F0"/>
    <w:rsid w:val="00F22E28"/>
    <w:rsid w:val="00F25DB5"/>
    <w:rsid w:val="00F31668"/>
    <w:rsid w:val="00F32E4A"/>
    <w:rsid w:val="00F47ABF"/>
    <w:rsid w:val="00F52775"/>
    <w:rsid w:val="00F617C0"/>
    <w:rsid w:val="00F63B4A"/>
    <w:rsid w:val="00F6544F"/>
    <w:rsid w:val="00F65C09"/>
    <w:rsid w:val="00F67CFE"/>
    <w:rsid w:val="00F7367C"/>
    <w:rsid w:val="00F73F2E"/>
    <w:rsid w:val="00F777D4"/>
    <w:rsid w:val="00F81E25"/>
    <w:rsid w:val="00FA69F2"/>
    <w:rsid w:val="00FB7538"/>
    <w:rsid w:val="00FC25B5"/>
    <w:rsid w:val="00FC7CB0"/>
    <w:rsid w:val="00FE78A2"/>
    <w:rsid w:val="00FF0795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4819"/>
  <w15:docId w15:val="{D293F383-A1BF-45BA-BA53-D7EAA7F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7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62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23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0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2339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339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62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unktoverskrift">
    <w:name w:val="punktoverskrift"/>
    <w:basedOn w:val="Standardskrifttypeiafsnit"/>
    <w:rsid w:val="0062339D"/>
  </w:style>
  <w:style w:type="character" w:styleId="Hyperlink">
    <w:name w:val="Hyperlink"/>
    <w:basedOn w:val="Standardskrifttypeiafsnit"/>
    <w:uiPriority w:val="99"/>
    <w:semiHidden/>
    <w:unhideWhenUsed/>
    <w:rsid w:val="0062339D"/>
    <w:rPr>
      <w:color w:val="0000FF"/>
      <w:u w:val="single"/>
    </w:rPr>
  </w:style>
  <w:style w:type="paragraph" w:customStyle="1" w:styleId="sagsjournalnummer">
    <w:name w:val="sagsjournalnummer"/>
    <w:basedOn w:val="Normal"/>
    <w:rsid w:val="001C00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Redegrelse">
    <w:name w:val="Redegørelse"/>
    <w:basedOn w:val="Normal"/>
    <w:link w:val="RedegrelseTegn"/>
    <w:rsid w:val="001C006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RedegrelseTegn">
    <w:name w:val="Redegørelse Tegn"/>
    <w:link w:val="Redegrelse"/>
    <w:rsid w:val="001C0063"/>
    <w:rPr>
      <w:rFonts w:ascii="Arial" w:eastAsia="Times New Roman" w:hAnsi="Arial" w:cs="Times New Roman"/>
      <w:sz w:val="20"/>
      <w:szCs w:val="24"/>
      <w:lang w:eastAsia="da-DK"/>
    </w:rPr>
  </w:style>
  <w:style w:type="paragraph" w:customStyle="1" w:styleId="RedegrelseUndersges">
    <w:name w:val="(Redegørelse) Undersøges"/>
    <w:aliases w:val="baggrundsinformation – slettes,Undersøges"/>
    <w:basedOn w:val="Redegrelse"/>
    <w:next w:val="Normal"/>
    <w:link w:val="RedegrelseUndersgesbaggrundsinformationslettesTegnTegn"/>
    <w:rsid w:val="001C0063"/>
    <w:rPr>
      <w:i/>
      <w:color w:val="0000FF"/>
    </w:rPr>
  </w:style>
  <w:style w:type="character" w:customStyle="1" w:styleId="RedegrelseUndersgesbaggrundsinformationslettesTegnTegn">
    <w:name w:val="(Redegørelse) Undersøges;baggrundsinformation – slettes Tegn Tegn"/>
    <w:link w:val="RedegrelseUndersges"/>
    <w:rsid w:val="001C0063"/>
    <w:rPr>
      <w:rFonts w:ascii="Arial" w:eastAsia="Times New Roman" w:hAnsi="Arial" w:cs="Times New Roman"/>
      <w:i/>
      <w:color w:val="0000FF"/>
      <w:sz w:val="2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73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73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735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73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735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35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0189B"/>
    <w:pPr>
      <w:ind w:left="720"/>
      <w:contextualSpacing/>
    </w:pPr>
  </w:style>
  <w:style w:type="paragraph" w:customStyle="1" w:styleId="Grundlggendeafsnit">
    <w:name w:val="[Grundlæggende afsnit]"/>
    <w:basedOn w:val="Normal"/>
    <w:uiPriority w:val="99"/>
    <w:rsid w:val="00F172F0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  <w:lang w:val="en-GB"/>
    </w:rPr>
  </w:style>
  <w:style w:type="paragraph" w:customStyle="1" w:styleId="CoverheadlineFormatgruppe1">
    <w:name w:val="Cover_headline (Formatgruppe 1)"/>
    <w:basedOn w:val="Normal"/>
    <w:uiPriority w:val="99"/>
    <w:rsid w:val="00F172F0"/>
    <w:pPr>
      <w:autoSpaceDE w:val="0"/>
      <w:autoSpaceDN w:val="0"/>
      <w:adjustRightInd w:val="0"/>
      <w:spacing w:after="0" w:line="520" w:lineRule="atLeast"/>
      <w:textAlignment w:val="center"/>
    </w:pPr>
    <w:rPr>
      <w:rFonts w:ascii="Helvetica Neue 45 Light" w:hAnsi="Helvetica Neue 45 Light" w:cs="Helvetica Neue 45 Light"/>
      <w:caps/>
      <w:color w:val="58585B"/>
      <w:sz w:val="50"/>
      <w:szCs w:val="50"/>
      <w:lang w:val="en-GB"/>
    </w:rPr>
  </w:style>
  <w:style w:type="paragraph" w:customStyle="1" w:styleId="underoverskrift">
    <w:name w:val="underoverskrift"/>
    <w:basedOn w:val="Overskrift"/>
    <w:uiPriority w:val="99"/>
    <w:rsid w:val="00F172F0"/>
    <w:pPr>
      <w:keepNext w:val="0"/>
      <w:keepLines w:val="0"/>
      <w:autoSpaceDE w:val="0"/>
      <w:autoSpaceDN w:val="0"/>
      <w:adjustRightInd w:val="0"/>
      <w:spacing w:before="0" w:line="360" w:lineRule="atLeast"/>
      <w:textAlignment w:val="center"/>
    </w:pPr>
    <w:rPr>
      <w:rFonts w:ascii="Myriad Pro" w:eastAsiaTheme="minorHAnsi" w:hAnsi="Myriad Pro" w:cs="Myriad Pro"/>
      <w:b/>
      <w:bCs/>
      <w:caps/>
      <w:color w:val="58585B"/>
      <w:sz w:val="20"/>
      <w:szCs w:val="20"/>
      <w:lang w:val="en-GB"/>
    </w:rPr>
  </w:style>
  <w:style w:type="character" w:customStyle="1" w:styleId="A5">
    <w:name w:val="A5"/>
    <w:uiPriority w:val="99"/>
    <w:rsid w:val="00F172F0"/>
    <w:rPr>
      <w:rFonts w:cs="Myriad Pro"/>
      <w:color w:val="000000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72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172F0"/>
    <w:pPr>
      <w:outlineLvl w:val="9"/>
    </w:pPr>
  </w:style>
  <w:style w:type="table" w:styleId="Tabel-Gitter">
    <w:name w:val="Table Grid"/>
    <w:basedOn w:val="Tabel-Normal"/>
    <w:uiPriority w:val="59"/>
    <w:rsid w:val="008D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basedOn w:val="Standardskrifttypeiafsnit"/>
    <w:uiPriority w:val="99"/>
    <w:rsid w:val="00BA5BCF"/>
    <w:rPr>
      <w:rFonts w:ascii="Myriad Pro" w:hAnsi="Myriad Pro" w:hint="default"/>
      <w:color w:val="000000"/>
    </w:rPr>
  </w:style>
  <w:style w:type="paragraph" w:styleId="Korrektur">
    <w:name w:val="Revision"/>
    <w:hidden/>
    <w:uiPriority w:val="99"/>
    <w:semiHidden/>
    <w:rsid w:val="004D20E5"/>
    <w:pPr>
      <w:spacing w:after="0" w:line="240" w:lineRule="auto"/>
    </w:pPr>
  </w:style>
  <w:style w:type="paragraph" w:customStyle="1" w:styleId="Default">
    <w:name w:val="Default"/>
    <w:rsid w:val="00CE03FD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  <w:style w:type="character" w:customStyle="1" w:styleId="A2">
    <w:name w:val="A2"/>
    <w:uiPriority w:val="99"/>
    <w:rsid w:val="00CE03FD"/>
    <w:rPr>
      <w:rFonts w:cs="Gotham Narrow Book"/>
      <w:color w:val="000000"/>
      <w:sz w:val="22"/>
      <w:szCs w:val="22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595ACC"/>
    <w:pPr>
      <w:spacing w:after="0" w:line="240" w:lineRule="auto"/>
      <w:outlineLvl w:val="2"/>
    </w:pPr>
    <w:rPr>
      <w:rFonts w:ascii="Calibri" w:hAnsi="Calibri"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595ACC"/>
    <w:rPr>
      <w:rFonts w:ascii="Calibri" w:hAnsi="Calibri" w:cs="Arial"/>
      <w:b/>
      <w:bCs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E0E2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54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2913-4B0B-4BB2-8174-03C504E6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Vahle;Mia Nørlund</dc:creator>
  <cp:lastModifiedBy>Sofie Palsgaard Nommensen</cp:lastModifiedBy>
  <cp:revision>6</cp:revision>
  <dcterms:created xsi:type="dcterms:W3CDTF">2022-05-03T12:58:00Z</dcterms:created>
  <dcterms:modified xsi:type="dcterms:W3CDTF">2022-06-01T08:30:00Z</dcterms:modified>
</cp:coreProperties>
</file>