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58" w:rsidRPr="00F46158" w:rsidRDefault="009D13A0" w:rsidP="002F7670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A42180B" wp14:editId="74A11C55">
            <wp:simplePos x="0" y="0"/>
            <mc:AlternateContent>
              <mc:Choice Requires="wp14">
                <wp:positionH relativeFrom="margin">
                  <wp14:pctPosHOffset>0</wp14:pctPosHOffset>
                </wp:positionH>
              </mc:Choice>
              <mc:Fallback>
                <wp:positionH relativeFrom="page">
                  <wp:posOffset>900430</wp:posOffset>
                </wp:positionH>
              </mc:Fallback>
            </mc:AlternateContent>
            <wp:positionV relativeFrom="page">
              <wp:posOffset>540385</wp:posOffset>
            </wp:positionV>
            <wp:extent cx="1609090" cy="144145"/>
            <wp:effectExtent l="0" t="0" r="0" b="82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s_kommu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97" cy="14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63C8EDE0" wp14:editId="2E5A941A">
            <wp:simplePos x="0" y="0"/>
            <mc:AlternateContent>
              <mc:Choice Requires="wp14">
                <wp:positionH relativeFrom="rightMargin">
                  <wp14:pctPosHOffset>0</wp14:pctPosHOffset>
                </wp:positionH>
              </mc:Choice>
              <mc:Fallback>
                <wp:positionH relativeFrom="page">
                  <wp:posOffset>5760085</wp:posOffset>
                </wp:positionH>
              </mc:Fallback>
            </mc:AlternateContent>
            <wp:positionV relativeFrom="page">
              <wp:posOffset>540385</wp:posOffset>
            </wp:positionV>
            <wp:extent cx="603885" cy="683895"/>
            <wp:effectExtent l="0" t="0" r="5715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vaaben_far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51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58" w:rsidRPr="00F46158">
        <w:t xml:space="preserve"> </w:t>
      </w:r>
    </w:p>
    <w:p w:rsidR="006A4F37" w:rsidRDefault="008F465B" w:rsidP="00D014F7">
      <w:pPr>
        <w:spacing w:after="0"/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bottomMargin">
              <wp:posOffset>180340</wp:posOffset>
            </wp:positionV>
            <wp:extent cx="1882800" cy="302400"/>
            <wp:effectExtent l="0" t="0" r="3175" b="254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3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A4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1440180</wp:posOffset>
                </wp:positionV>
                <wp:extent cx="1619885" cy="2001520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714" w:rsidRDefault="00374714" w:rsidP="00C87E94">
                            <w:pPr>
                              <w:pStyle w:val="brevtekst"/>
                            </w:pPr>
                          </w:p>
                          <w:p w:rsidR="006A4F37" w:rsidRPr="000B666A" w:rsidRDefault="006A4F37" w:rsidP="00C87E94">
                            <w:pPr>
                              <w:pStyle w:val="brevtekst"/>
                            </w:pPr>
                            <w:r w:rsidRPr="000B666A">
                              <w:t xml:space="preserve"> Sundhed</w:t>
                            </w:r>
                            <w:r w:rsidR="00374714">
                              <w:t>, Kultur og Omsorg</w:t>
                            </w:r>
                            <w:r w:rsidRPr="000B666A">
                              <w:t xml:space="preserve"> </w:t>
                            </w:r>
                          </w:p>
                          <w:p w:rsidR="006A4F37" w:rsidRDefault="006A4F37" w:rsidP="00C87E94">
                            <w:pPr>
                              <w:pStyle w:val="brevtekst"/>
                            </w:pPr>
                          </w:p>
                          <w:p w:rsidR="006A4F37" w:rsidRDefault="006A4F37" w:rsidP="00015B3E">
                            <w:pPr>
                              <w:pStyle w:val="brevtekst"/>
                            </w:pPr>
                            <w:r w:rsidRPr="000B666A">
                              <w:t>Telefon</w:t>
                            </w:r>
                            <w:r>
                              <w:t xml:space="preserve"> </w:t>
                            </w:r>
                            <w:r w:rsidRPr="000B666A">
                              <w:t xml:space="preserve">+45 </w:t>
                            </w:r>
                            <w:r>
                              <w:t>8915 1515</w:t>
                            </w:r>
                          </w:p>
                          <w:p w:rsidR="006A4F37" w:rsidRDefault="006A4F37" w:rsidP="00015B3E">
                            <w:pPr>
                              <w:pStyle w:val="brevtekst"/>
                            </w:pPr>
                            <w:r>
                              <w:t>Direkte</w:t>
                            </w:r>
                          </w:p>
                          <w:p w:rsidR="006A4F37" w:rsidRPr="000B666A" w:rsidRDefault="006A4F37" w:rsidP="00015B3E">
                            <w:pPr>
                              <w:pStyle w:val="brevtekst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 w:rsidRPr="00151DB4">
                              <w:t>www.randers.dk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53.6pt;margin-top:113.4pt;width:127.55pt;height:15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" filled="f" stroked="f">
                <v:textbox inset="0,0,0,0">
                  <w:txbxContent>
                    <w:p w:rsidR="00374714" w:rsidRDefault="00374714" w:rsidP="00C87E94">
                      <w:pPr>
                        <w:pStyle w:val="brevtekst"/>
                      </w:pPr>
                    </w:p>
                    <w:p w:rsidR="006A4F37" w:rsidRPr="000B666A" w:rsidRDefault="006A4F37" w:rsidP="00C87E94">
                      <w:pPr>
                        <w:pStyle w:val="brevtekst"/>
                      </w:pPr>
                      <w:r w:rsidRPr="000B666A">
                        <w:t xml:space="preserve"> Sundhed</w:t>
                      </w:r>
                      <w:r w:rsidR="00374714">
                        <w:t>, Kultur og Omsorg</w:t>
                      </w:r>
                      <w:r w:rsidRPr="000B666A">
                        <w:t xml:space="preserve"> </w:t>
                      </w:r>
                    </w:p>
                    <w:p w:rsidR="006A4F37" w:rsidRDefault="006A4F37" w:rsidP="00C87E94">
                      <w:pPr>
                        <w:pStyle w:val="brevtekst"/>
                      </w:pPr>
                    </w:p>
                    <w:p w:rsidR="006A4F37" w:rsidRDefault="006A4F37" w:rsidP="00015B3E">
                      <w:pPr>
                        <w:pStyle w:val="brevtekst"/>
                      </w:pPr>
                      <w:r w:rsidRPr="000B666A">
                        <w:t>Telefon</w:t>
                      </w:r>
                      <w:r>
                        <w:t xml:space="preserve"> </w:t>
                      </w:r>
                      <w:r w:rsidRPr="000B666A">
                        <w:t xml:space="preserve">+45 </w:t>
                      </w:r>
                      <w:r>
                        <w:t>8915 1515</w:t>
                      </w:r>
                    </w:p>
                    <w:p w:rsidR="006A4F37" w:rsidRDefault="006A4F37" w:rsidP="00015B3E">
                      <w:pPr>
                        <w:pStyle w:val="brevtekst"/>
                      </w:pPr>
                      <w:r>
                        <w:t>Direkte</w:t>
                      </w:r>
                    </w:p>
                    <w:p w:rsidR="006A4F37" w:rsidRPr="000B666A" w:rsidRDefault="006A4F37" w:rsidP="00015B3E">
                      <w:pPr>
                        <w:pStyle w:val="brevtekst"/>
                      </w:pPr>
                      <w:r>
                        <w:br/>
                      </w:r>
                      <w:r>
                        <w:br/>
                      </w:r>
                      <w:r w:rsidRPr="00151DB4">
                        <w:t>www.randers.dk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4F37" w:rsidRPr="00AC4B13" w:rsidRDefault="006A4F37" w:rsidP="00D014F7">
      <w:pPr>
        <w:spacing w:after="0"/>
        <w:rPr>
          <w:szCs w:val="20"/>
        </w:rPr>
      </w:pPr>
    </w:p>
    <w:p w:rsidR="006A4F37" w:rsidRPr="00D014F7" w:rsidRDefault="009C2A4C" w:rsidP="00D014F7">
      <w:pPr>
        <w:spacing w:after="0"/>
        <w:rPr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1440180</wp:posOffset>
                </wp:positionV>
                <wp:extent cx="4233545" cy="1093470"/>
                <wp:effectExtent l="0" t="0" r="0" b="1143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093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37" w:rsidRPr="00151DB4" w:rsidRDefault="006A4F37" w:rsidP="00D014F7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  <w:p w:rsidR="006A4F37" w:rsidRPr="00426CB9" w:rsidRDefault="006A4F37" w:rsidP="00426CB9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9pt;margin-top:113.4pt;width:333.35pt;height:8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" filled="f" stroked="f">
                <v:textbox inset="0,0,0,0">
                  <w:txbxContent>
                    <w:p w:rsidR="006A4F37" w:rsidRPr="00151DB4" w:rsidRDefault="006A4F37" w:rsidP="00D014F7">
                      <w:pPr>
                        <w:spacing w:after="0"/>
                        <w:rPr>
                          <w:szCs w:val="20"/>
                        </w:rPr>
                      </w:pPr>
                    </w:p>
                    <w:p w:rsidR="006A4F37" w:rsidRPr="00426CB9" w:rsidRDefault="006A4F37" w:rsidP="00426CB9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4F37" w:rsidRPr="00D014F7" w:rsidRDefault="006A4F37" w:rsidP="00D014F7">
      <w:pPr>
        <w:spacing w:after="0"/>
        <w:rPr>
          <w:sz w:val="20"/>
          <w:szCs w:val="20"/>
        </w:rPr>
      </w:pPr>
    </w:p>
    <w:p w:rsidR="006A4F37" w:rsidRPr="00D014F7" w:rsidRDefault="006A4F37" w:rsidP="00D014F7">
      <w:pPr>
        <w:spacing w:after="0"/>
        <w:rPr>
          <w:sz w:val="20"/>
          <w:szCs w:val="20"/>
        </w:rPr>
      </w:pPr>
    </w:p>
    <w:p w:rsidR="006A4F37" w:rsidRPr="00D014F7" w:rsidRDefault="006A4F37" w:rsidP="00D014F7">
      <w:pPr>
        <w:spacing w:after="0"/>
        <w:rPr>
          <w:sz w:val="20"/>
          <w:szCs w:val="20"/>
        </w:rPr>
      </w:pPr>
    </w:p>
    <w:p w:rsidR="009C2A4C" w:rsidRDefault="009C2A4C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Sektor-MED-udvalge</w:t>
      </w:r>
      <w:r w:rsidR="0048202D">
        <w:rPr>
          <w:rFonts w:ascii="Calibri" w:hAnsi="Calibri" w:cs="Calibri"/>
        </w:rPr>
        <w:t>t for omsorgsområdet</w:t>
      </w:r>
      <w:r w:rsidR="00186075">
        <w:rPr>
          <w:rFonts w:ascii="Calibri" w:hAnsi="Calibri" w:cs="Calibri"/>
        </w:rPr>
        <w:t xml:space="preserve"> har holdt møde den </w:t>
      </w:r>
      <w:r w:rsidR="0048202D">
        <w:rPr>
          <w:rFonts w:ascii="Calibri" w:hAnsi="Calibri" w:cs="Calibri"/>
        </w:rPr>
        <w:t>9. september</w:t>
      </w:r>
      <w:r w:rsidR="001860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48202D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og har følgende </w:t>
      </w:r>
      <w:r w:rsidR="0048202D">
        <w:rPr>
          <w:rFonts w:ascii="Calibri" w:hAnsi="Calibri" w:cs="Calibri"/>
        </w:rPr>
        <w:t>kommentarer til budget 2021</w:t>
      </w:r>
      <w:r>
        <w:rPr>
          <w:rFonts w:ascii="Calibri" w:hAnsi="Calibri" w:cs="Calibri"/>
        </w:rPr>
        <w:t>:</w:t>
      </w:r>
    </w:p>
    <w:p w:rsidR="009C2A4C" w:rsidRDefault="009C2A4C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DF8" w:rsidRDefault="00AB6C33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Indledningsvist </w:t>
      </w:r>
      <w:r w:rsidR="000D3DF8">
        <w:rPr>
          <w:rFonts w:ascii="Calibri" w:hAnsi="Calibri" w:cs="Calibri"/>
        </w:rPr>
        <w:t>glæder Sektor-med på omsorgsområdet sig over den vedtagne udligningsreform, som har været positiv for Randers Kommune. Udligningsreformen giver for første gang i mange år en ny situation for Randers Kommune</w:t>
      </w:r>
      <w:r w:rsidR="003B0DA5">
        <w:rPr>
          <w:rFonts w:ascii="Calibri" w:hAnsi="Calibri" w:cs="Calibri"/>
        </w:rPr>
        <w:t xml:space="preserve"> og budgetlægningen</w:t>
      </w:r>
      <w:r w:rsidR="000831C5">
        <w:rPr>
          <w:rFonts w:ascii="Calibri" w:hAnsi="Calibri" w:cs="Calibri"/>
        </w:rPr>
        <w:t xml:space="preserve"> </w:t>
      </w:r>
    </w:p>
    <w:p w:rsidR="000D3DF8" w:rsidRDefault="000D3DF8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31C5" w:rsidRDefault="000D3DF8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S</w:t>
      </w:r>
      <w:r w:rsidR="00AB6C33">
        <w:rPr>
          <w:rFonts w:ascii="Calibri" w:hAnsi="Calibri" w:cs="Calibri"/>
        </w:rPr>
        <w:t xml:space="preserve">ektor-MED </w:t>
      </w:r>
      <w:r>
        <w:rPr>
          <w:rFonts w:ascii="Calibri" w:hAnsi="Calibri" w:cs="Calibri"/>
        </w:rPr>
        <w:t xml:space="preserve">på omsorgsområdet er det i den sammenhæng vigtigt </w:t>
      </w:r>
      <w:r w:rsidR="00AB6C33">
        <w:rPr>
          <w:rFonts w:ascii="Calibri" w:hAnsi="Calibri" w:cs="Calibri"/>
        </w:rPr>
        <w:t xml:space="preserve">at kaste lys på, at </w:t>
      </w:r>
      <w:r>
        <w:rPr>
          <w:rFonts w:ascii="Calibri" w:hAnsi="Calibri" w:cs="Calibri"/>
        </w:rPr>
        <w:t>omsorgs</w:t>
      </w:r>
      <w:r w:rsidR="00AB6C33">
        <w:rPr>
          <w:rFonts w:ascii="Calibri" w:hAnsi="Calibri" w:cs="Calibri"/>
        </w:rPr>
        <w:t xml:space="preserve">området </w:t>
      </w:r>
      <w:r w:rsidR="0048202D">
        <w:rPr>
          <w:rFonts w:ascii="Calibri" w:hAnsi="Calibri" w:cs="Calibri"/>
        </w:rPr>
        <w:t>igennem de seneste år har været igennem s</w:t>
      </w:r>
      <w:r w:rsidR="000831C5">
        <w:rPr>
          <w:rFonts w:ascii="Calibri" w:hAnsi="Calibri" w:cs="Calibri"/>
        </w:rPr>
        <w:t>tor</w:t>
      </w:r>
      <w:r w:rsidR="009631F6">
        <w:rPr>
          <w:rFonts w:ascii="Calibri" w:hAnsi="Calibri" w:cs="Calibri"/>
        </w:rPr>
        <w:t>e</w:t>
      </w:r>
      <w:r w:rsidR="000831C5">
        <w:rPr>
          <w:rFonts w:ascii="Calibri" w:hAnsi="Calibri" w:cs="Calibri"/>
        </w:rPr>
        <w:t xml:space="preserve"> omlægning</w:t>
      </w:r>
      <w:r w:rsidR="009631F6">
        <w:rPr>
          <w:rFonts w:ascii="Calibri" w:hAnsi="Calibri" w:cs="Calibri"/>
        </w:rPr>
        <w:t>er</w:t>
      </w:r>
      <w:r w:rsidR="000831C5">
        <w:rPr>
          <w:rFonts w:ascii="Calibri" w:hAnsi="Calibri" w:cs="Calibri"/>
        </w:rPr>
        <w:t xml:space="preserve"> på mange områder</w:t>
      </w:r>
      <w:r w:rsidR="00232601">
        <w:rPr>
          <w:rFonts w:ascii="Calibri" w:hAnsi="Calibri" w:cs="Calibri"/>
        </w:rPr>
        <w:t>, herunder løbende effektiviseringskrav (jf. 0,5%)</w:t>
      </w:r>
      <w:r w:rsidR="001F3FF2">
        <w:rPr>
          <w:rFonts w:ascii="Calibri" w:hAnsi="Calibri" w:cs="Calibri"/>
        </w:rPr>
        <w:t xml:space="preserve"> </w:t>
      </w:r>
      <w:r w:rsidR="000831C5">
        <w:rPr>
          <w:rFonts w:ascii="Calibri" w:hAnsi="Calibri" w:cs="Calibri"/>
        </w:rPr>
        <w:t xml:space="preserve">og i de kommende år vedvarende vil blive udsat for et stort pres. </w:t>
      </w:r>
    </w:p>
    <w:p w:rsidR="000D3DF8" w:rsidRDefault="000D3DF8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831C5" w:rsidRDefault="000D3DF8" w:rsidP="00227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Dels er der kommet nye opgaver til grundet udviklingen i det nære sundhedsvæsen,</w:t>
      </w:r>
      <w:r w:rsidR="0022720E">
        <w:rPr>
          <w:rFonts w:ascii="Calibri" w:hAnsi="Calibri" w:cs="Calibri"/>
        </w:rPr>
        <w:t xml:space="preserve"> </w:t>
      </w:r>
      <w:r w:rsidR="0062596E">
        <w:rPr>
          <w:rFonts w:ascii="Calibri" w:hAnsi="Calibri" w:cs="Calibri"/>
        </w:rPr>
        <w:t xml:space="preserve">hvoraf kan nævnes TOBS (tidlig opsporing af begyndende sygdom), akutfunktion for de praktiserende læger og </w:t>
      </w:r>
      <w:r w:rsidR="0022720E">
        <w:rPr>
          <w:rFonts w:ascii="Calibri" w:hAnsi="Calibri" w:cs="Calibri"/>
        </w:rPr>
        <w:t>s</w:t>
      </w:r>
      <w:r w:rsidR="000831C5">
        <w:rPr>
          <w:rFonts w:ascii="Calibri" w:hAnsi="Calibri" w:cs="Calibri"/>
        </w:rPr>
        <w:t xml:space="preserve">enest overtagelsen af intravenøs behandling af borgere </w:t>
      </w:r>
      <w:r w:rsidR="0022720E">
        <w:rPr>
          <w:rFonts w:ascii="Calibri" w:hAnsi="Calibri" w:cs="Calibri"/>
        </w:rPr>
        <w:t>fra regionen</w:t>
      </w:r>
      <w:r w:rsidR="0062596E">
        <w:rPr>
          <w:rFonts w:ascii="Calibri" w:hAnsi="Calibri" w:cs="Calibri"/>
        </w:rPr>
        <w:t xml:space="preserve">. Sidstnævnte opgave er skønnet til en udgift på 0,6 mio. kr. som skal findes indenfor rammen. </w:t>
      </w:r>
      <w:r w:rsidR="0022720E">
        <w:rPr>
          <w:rFonts w:ascii="Calibri" w:hAnsi="Calibri" w:cs="Calibri"/>
        </w:rPr>
        <w:t>D</w:t>
      </w:r>
      <w:r>
        <w:rPr>
          <w:rFonts w:ascii="Calibri" w:hAnsi="Calibri" w:cs="Calibri"/>
        </w:rPr>
        <w:t>els er der nye måder at gøre tingene på og dels har området implementeret en række</w:t>
      </w:r>
      <w:r w:rsidR="0048202D">
        <w:rPr>
          <w:rFonts w:ascii="Calibri" w:hAnsi="Calibri" w:cs="Calibri"/>
        </w:rPr>
        <w:t xml:space="preserve"> sparekrav. </w:t>
      </w:r>
      <w:r w:rsidR="000831C5">
        <w:rPr>
          <w:rFonts w:ascii="Calibri" w:hAnsi="Calibri" w:cs="Calibri"/>
        </w:rPr>
        <w:t>Sparekrav som følge af effektiviser</w:t>
      </w:r>
      <w:r w:rsidR="0048202D">
        <w:rPr>
          <w:rFonts w:ascii="Calibri" w:hAnsi="Calibri" w:cs="Calibri"/>
        </w:rPr>
        <w:t xml:space="preserve">ingskravet </w:t>
      </w:r>
      <w:r w:rsidR="003B0DA5">
        <w:rPr>
          <w:rFonts w:ascii="Calibri" w:hAnsi="Calibri" w:cs="Calibri"/>
        </w:rPr>
        <w:t xml:space="preserve">på 0,5% </w:t>
      </w:r>
      <w:r w:rsidR="0048202D">
        <w:rPr>
          <w:rFonts w:ascii="Calibri" w:hAnsi="Calibri" w:cs="Calibri"/>
        </w:rPr>
        <w:t xml:space="preserve">men også som følge af </w:t>
      </w:r>
      <w:r w:rsidR="000831C5">
        <w:rPr>
          <w:rFonts w:ascii="Calibri" w:hAnsi="Calibri" w:cs="Calibri"/>
        </w:rPr>
        <w:t xml:space="preserve">de politisk vedtagne </w:t>
      </w:r>
      <w:r w:rsidR="00BC0C6C">
        <w:rPr>
          <w:rFonts w:ascii="Calibri" w:hAnsi="Calibri" w:cs="Calibri"/>
        </w:rPr>
        <w:t>ændrede demografireguleringer.</w:t>
      </w:r>
    </w:p>
    <w:p w:rsidR="000831C5" w:rsidRDefault="000831C5" w:rsidP="00227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0C6C" w:rsidRDefault="000D3DF8" w:rsidP="00227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Dertil kommer, at vi ved, at den kom</w:t>
      </w:r>
      <w:r w:rsidR="0048202D">
        <w:rPr>
          <w:rFonts w:ascii="Calibri" w:hAnsi="Calibri" w:cs="Calibri"/>
        </w:rPr>
        <w:t>mende periode</w:t>
      </w:r>
      <w:r>
        <w:rPr>
          <w:rFonts w:ascii="Calibri" w:hAnsi="Calibri" w:cs="Calibri"/>
        </w:rPr>
        <w:t xml:space="preserve"> </w:t>
      </w:r>
      <w:r w:rsidR="0048202D">
        <w:rPr>
          <w:rFonts w:ascii="Calibri" w:hAnsi="Calibri" w:cs="Calibri"/>
        </w:rPr>
        <w:t xml:space="preserve">vil </w:t>
      </w:r>
      <w:r>
        <w:rPr>
          <w:rFonts w:ascii="Calibri" w:hAnsi="Calibri" w:cs="Calibri"/>
        </w:rPr>
        <w:t>byde på e</w:t>
      </w:r>
      <w:r w:rsidR="002F403E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kraftig stigning i </w:t>
      </w:r>
      <w:r w:rsidR="0048202D">
        <w:rPr>
          <w:rFonts w:ascii="Calibri" w:hAnsi="Calibri" w:cs="Calibri"/>
        </w:rPr>
        <w:t>an</w:t>
      </w:r>
      <w:r>
        <w:rPr>
          <w:rFonts w:ascii="Calibri" w:hAnsi="Calibri" w:cs="Calibri"/>
        </w:rPr>
        <w:t>tallet af ældre</w:t>
      </w:r>
      <w:r w:rsidR="0048202D">
        <w:rPr>
          <w:rFonts w:ascii="Calibri" w:hAnsi="Calibri" w:cs="Calibri"/>
        </w:rPr>
        <w:t xml:space="preserve"> og især vil der ske en stigning i anta</w:t>
      </w:r>
      <w:r w:rsidR="000831C5">
        <w:rPr>
          <w:rFonts w:ascii="Calibri" w:hAnsi="Calibri" w:cs="Calibri"/>
        </w:rPr>
        <w:t xml:space="preserve">llet af 85 årige og derover. Det er en gruppe, som sygdomsmæssigt er forholdsvist hårdt ramt (jf. sundhedsprofilen), en gruppe som generelt får tilbudt korte behandlingsforløb i sygehuset (korte indlæggelser og genindlægger) og som omsorgsområdet derefter får til opgave at understøtte både pleje- og omsorgsmæssigt. Borgerne bliver ældre, men antallet af år, </w:t>
      </w:r>
      <w:r w:rsidR="0022720E">
        <w:rPr>
          <w:rFonts w:ascii="Calibri" w:hAnsi="Calibri" w:cs="Calibri"/>
        </w:rPr>
        <w:t>hvor der er sygdom, herunder multi</w:t>
      </w:r>
      <w:r w:rsidR="000831C5">
        <w:rPr>
          <w:rFonts w:ascii="Calibri" w:hAnsi="Calibri" w:cs="Calibri"/>
        </w:rPr>
        <w:t>sygdom forventes ikke reduceret (jf. forskning om sund aldring).</w:t>
      </w:r>
      <w:r w:rsidR="001F3FF2">
        <w:rPr>
          <w:rFonts w:ascii="Calibri" w:hAnsi="Calibri" w:cs="Calibri"/>
        </w:rPr>
        <w:t xml:space="preserve"> Samtidig </w:t>
      </w:r>
      <w:r w:rsidR="002F403E">
        <w:rPr>
          <w:rFonts w:ascii="Calibri" w:hAnsi="Calibri" w:cs="Calibri"/>
        </w:rPr>
        <w:t>opleves det, at</w:t>
      </w:r>
      <w:r w:rsidR="001F3FF2">
        <w:rPr>
          <w:rFonts w:ascii="Calibri" w:hAnsi="Calibri" w:cs="Calibri"/>
        </w:rPr>
        <w:t xml:space="preserve"> forventninger fra borger</w:t>
      </w:r>
      <w:r w:rsidR="00401822">
        <w:rPr>
          <w:rFonts w:ascii="Calibri" w:hAnsi="Calibri" w:cs="Calibri"/>
        </w:rPr>
        <w:t xml:space="preserve"> og </w:t>
      </w:r>
      <w:r w:rsidR="001F3FF2">
        <w:rPr>
          <w:rFonts w:ascii="Calibri" w:hAnsi="Calibri" w:cs="Calibri"/>
        </w:rPr>
        <w:t>pårørende</w:t>
      </w:r>
      <w:r w:rsidR="002F403E">
        <w:rPr>
          <w:rFonts w:ascii="Calibri" w:hAnsi="Calibri" w:cs="Calibri"/>
        </w:rPr>
        <w:t xml:space="preserve"> er</w:t>
      </w:r>
      <w:r w:rsidR="001F3FF2">
        <w:rPr>
          <w:rFonts w:ascii="Calibri" w:hAnsi="Calibri" w:cs="Calibri"/>
        </w:rPr>
        <w:t xml:space="preserve"> stigende</w:t>
      </w:r>
      <w:r w:rsidR="002F403E">
        <w:rPr>
          <w:rFonts w:ascii="Calibri" w:hAnsi="Calibri" w:cs="Calibri"/>
        </w:rPr>
        <w:t>, hvilket er med til at lægge et pres på området</w:t>
      </w:r>
      <w:r w:rsidR="001F3FF2">
        <w:rPr>
          <w:rFonts w:ascii="Calibri" w:hAnsi="Calibri" w:cs="Calibri"/>
        </w:rPr>
        <w:t xml:space="preserve">. </w:t>
      </w:r>
    </w:p>
    <w:p w:rsidR="0022720E" w:rsidRDefault="0022720E" w:rsidP="00227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Alt i alt er forventningen derfor, at omsorgsområdet også fremadrettet vil være under et stort pres. Aktuelt ses det på hjælpemiddelområdet, som har et stort merforbrug</w:t>
      </w:r>
      <w:r w:rsidR="00D40C0C">
        <w:rPr>
          <w:rFonts w:ascii="Calibri" w:hAnsi="Calibri" w:cs="Calibri"/>
        </w:rPr>
        <w:t xml:space="preserve">, grundet stigende demografi men også priser, som påvirker budgettet i negativ retning. </w:t>
      </w:r>
      <w:r w:rsidR="003B0DA5">
        <w:rPr>
          <w:rFonts w:ascii="Calibri" w:hAnsi="Calibri" w:cs="Calibri"/>
        </w:rPr>
        <w:t>Det gælder f.eks. kørestole, biler, proteser.</w:t>
      </w:r>
      <w:r>
        <w:rPr>
          <w:rFonts w:ascii="Calibri" w:hAnsi="Calibri" w:cs="Calibri"/>
        </w:rPr>
        <w:t xml:space="preserve"> </w:t>
      </w:r>
    </w:p>
    <w:p w:rsidR="000D3DF8" w:rsidRDefault="000D3DF8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DF8" w:rsidRDefault="000D3DF8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Sektor-MED på omsorg </w:t>
      </w:r>
      <w:r w:rsidR="00F71C5B">
        <w:rPr>
          <w:rFonts w:ascii="Calibri" w:hAnsi="Calibri" w:cs="Calibri"/>
        </w:rPr>
        <w:t>ønsker at gøre opmærksom på</w:t>
      </w:r>
      <w:r>
        <w:rPr>
          <w:rFonts w:ascii="Calibri" w:hAnsi="Calibri" w:cs="Calibri"/>
        </w:rPr>
        <w:t xml:space="preserve"> at det er en vigtig forudsætning for omsorgsområdets budget, at demografireguleringen </w:t>
      </w:r>
      <w:r w:rsidR="009631F6">
        <w:rPr>
          <w:rFonts w:ascii="Calibri" w:hAnsi="Calibri" w:cs="Calibri"/>
        </w:rPr>
        <w:t>fortsat gives, hvis det ønskes at de nuværende kvalitetsstandarder skal opretholdes</w:t>
      </w:r>
      <w:r>
        <w:rPr>
          <w:rFonts w:ascii="Calibri" w:hAnsi="Calibri" w:cs="Calibri"/>
        </w:rPr>
        <w:t xml:space="preserve">. </w:t>
      </w:r>
      <w:r w:rsidR="0022720E">
        <w:rPr>
          <w:rFonts w:ascii="Calibri" w:hAnsi="Calibri" w:cs="Calibri"/>
        </w:rPr>
        <w:t>Det er det sektor-med prioriterer højst af alt.</w:t>
      </w:r>
    </w:p>
    <w:p w:rsidR="000D3DF8" w:rsidRDefault="000D3DF8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20E" w:rsidRDefault="0022720E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Covid-19 har også ramt omsorgsområdet. Det er et område, hvor der er tæt kontakt til borgerne i</w:t>
      </w:r>
      <w:r w:rsidR="00F71C5B">
        <w:rPr>
          <w:rFonts w:ascii="Calibri" w:hAnsi="Calibri" w:cs="Calibri"/>
        </w:rPr>
        <w:t xml:space="preserve"> forhold til</w:t>
      </w:r>
      <w:r>
        <w:rPr>
          <w:rFonts w:ascii="Calibri" w:hAnsi="Calibri" w:cs="Calibri"/>
        </w:rPr>
        <w:t xml:space="preserve"> personlig pleje og der er behov for at bruge værnemidler i rigtig mange situationer</w:t>
      </w:r>
      <w:r w:rsidR="00487F0E">
        <w:rPr>
          <w:rFonts w:ascii="Calibri" w:hAnsi="Calibri" w:cs="Calibri"/>
        </w:rPr>
        <w:t xml:space="preserve"> samt ekstra rengøring</w:t>
      </w:r>
      <w:r>
        <w:rPr>
          <w:rFonts w:ascii="Calibri" w:hAnsi="Calibri" w:cs="Calibri"/>
        </w:rPr>
        <w:t>.</w:t>
      </w:r>
      <w:r w:rsidR="002326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Alt sammen noget, der kræver tid og lægger ekstra pres</w:t>
      </w:r>
      <w:r w:rsidR="00232601">
        <w:rPr>
          <w:rFonts w:ascii="Calibri" w:hAnsi="Calibri" w:cs="Calibri"/>
        </w:rPr>
        <w:t xml:space="preserve"> på området også fremadrettet.</w:t>
      </w:r>
      <w:r>
        <w:rPr>
          <w:rFonts w:ascii="Calibri" w:hAnsi="Calibri" w:cs="Calibri"/>
        </w:rPr>
        <w:t xml:space="preserve"> Dertil komme</w:t>
      </w:r>
      <w:r w:rsidR="00232601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at en ny opgave omkring test af alle medarbejdere på omsorgsområdet hhv. hver 6. eller hver 2. uge (afhængig af smittetrykket) vil</w:t>
      </w:r>
      <w:r w:rsidR="002326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kræve tid og ressourcer</w:t>
      </w:r>
      <w:r w:rsidR="00232601">
        <w:rPr>
          <w:rFonts w:ascii="Calibri" w:hAnsi="Calibri" w:cs="Calibri"/>
        </w:rPr>
        <w:t>. Tilsammen er det ressourcer</w:t>
      </w:r>
      <w:r>
        <w:rPr>
          <w:rFonts w:ascii="Calibri" w:hAnsi="Calibri" w:cs="Calibri"/>
        </w:rPr>
        <w:t xml:space="preserve"> som går fra borgerne</w:t>
      </w:r>
      <w:r w:rsidR="00232601">
        <w:rPr>
          <w:rFonts w:ascii="Calibri" w:hAnsi="Calibri" w:cs="Calibri"/>
        </w:rPr>
        <w:t xml:space="preserve"> og dermed det samlede serviceniveau</w:t>
      </w:r>
    </w:p>
    <w:p w:rsidR="0022720E" w:rsidRDefault="0022720E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1F6" w:rsidRDefault="0022720E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Omsorgsområdet har stadig besparelser fra sidste budgetforlig</w:t>
      </w:r>
      <w:r w:rsidR="006035E4">
        <w:rPr>
          <w:rFonts w:ascii="Calibri" w:hAnsi="Calibri" w:cs="Calibri"/>
        </w:rPr>
        <w:t>, herunder omdannelse af boliger med kald til ældreboliger</w:t>
      </w:r>
      <w:r w:rsidR="00232601">
        <w:rPr>
          <w:rFonts w:ascii="Calibri" w:hAnsi="Calibri" w:cs="Calibri"/>
        </w:rPr>
        <w:t xml:space="preserve"> (1 mio. i 2021; 3 mio i  2022 og 5 mio. kr i 2023)</w:t>
      </w:r>
      <w:r w:rsidR="009631F6">
        <w:rPr>
          <w:rFonts w:ascii="Calibri" w:hAnsi="Calibri" w:cs="Calibri"/>
        </w:rPr>
        <w:t>, klippekort</w:t>
      </w:r>
      <w:r w:rsidR="00232601">
        <w:rPr>
          <w:rFonts w:ascii="Calibri" w:hAnsi="Calibri" w:cs="Calibri"/>
        </w:rPr>
        <w:t xml:space="preserve"> (5 mio. kr) </w:t>
      </w:r>
      <w:r w:rsidR="006035E4">
        <w:rPr>
          <w:rFonts w:ascii="Calibri" w:hAnsi="Calibri" w:cs="Calibri"/>
        </w:rPr>
        <w:t xml:space="preserve"> samt ikke udmøntede rammebesparelser</w:t>
      </w:r>
      <w:r w:rsidR="00232601">
        <w:rPr>
          <w:rFonts w:ascii="Calibri" w:hAnsi="Calibri" w:cs="Calibri"/>
        </w:rPr>
        <w:t xml:space="preserve"> (se nedenfor)</w:t>
      </w:r>
    </w:p>
    <w:p w:rsidR="009631F6" w:rsidRDefault="009631F6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1F6" w:rsidRDefault="009631F6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notat til Omsorgsudvalgets møde den 20. august er det beskrevet, hvordan de ikke udmøntede rammebesparelser og sektor-MED ønsker at gøre opmærksom på at disse besparelser vil påvirke det nuværende serviceniveau.</w:t>
      </w:r>
    </w:p>
    <w:p w:rsidR="00C4632D" w:rsidRDefault="00C4632D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632D" w:rsidRDefault="00C4632D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Der er tale om følgende forslag:</w:t>
      </w:r>
      <w:r>
        <w:rPr>
          <w:rFonts w:ascii="Calibri" w:hAnsi="Calibri" w:cs="Calibri"/>
        </w:rPr>
        <w:br/>
      </w:r>
      <w:bookmarkStart w:id="0" w:name="_GoBack"/>
      <w:bookmarkEnd w:id="0"/>
    </w:p>
    <w:tbl>
      <w:tblPr>
        <w:tblStyle w:val="Tabel-Gitter"/>
        <w:tblW w:w="7937" w:type="dxa"/>
        <w:tblInd w:w="720" w:type="dxa"/>
        <w:tblLook w:val="04A0" w:firstRow="1" w:lastRow="0" w:firstColumn="1" w:lastColumn="0" w:noHBand="0" w:noVBand="1"/>
      </w:tblPr>
      <w:tblGrid>
        <w:gridCol w:w="5181"/>
        <w:gridCol w:w="772"/>
        <w:gridCol w:w="992"/>
        <w:gridCol w:w="992"/>
      </w:tblGrid>
      <w:tr w:rsidR="00C4632D" w:rsidRPr="00C4632D" w:rsidTr="007F6C2F">
        <w:tc>
          <w:tcPr>
            <w:tcW w:w="5181" w:type="dxa"/>
          </w:tcPr>
          <w:p w:rsidR="00C4632D" w:rsidRPr="00C4632D" w:rsidRDefault="00C4632D" w:rsidP="00C463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C4632D">
              <w:rPr>
                <w:rFonts w:ascii="Calibri" w:eastAsia="Calibri" w:hAnsi="Calibri" w:cs="Times New Roman"/>
                <w:b/>
              </w:rPr>
              <w:t>2021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C4632D">
              <w:rPr>
                <w:rFonts w:ascii="Calibri" w:eastAsia="Calibri" w:hAnsi="Calibri" w:cs="Times New Roman"/>
                <w:b/>
              </w:rPr>
              <w:t>2022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C4632D">
              <w:rPr>
                <w:rFonts w:ascii="Calibri" w:eastAsia="Calibri" w:hAnsi="Calibri" w:cs="Times New Roman"/>
                <w:b/>
              </w:rPr>
              <w:t>2023 og 2024</w:t>
            </w:r>
          </w:p>
        </w:tc>
      </w:tr>
      <w:tr w:rsidR="00C4632D" w:rsidRPr="00C4632D" w:rsidTr="007F6C2F">
        <w:tc>
          <w:tcPr>
            <w:tcW w:w="5181" w:type="dxa"/>
          </w:tcPr>
          <w:p w:rsidR="00C4632D" w:rsidRPr="00C4632D" w:rsidRDefault="00C4632D" w:rsidP="00C463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Reduktion af budgettet på Tryghedshotellet</w:t>
            </w:r>
          </w:p>
        </w:tc>
        <w:tc>
          <w:tcPr>
            <w:tcW w:w="77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0,40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0,60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1,00</w:t>
            </w:r>
          </w:p>
        </w:tc>
      </w:tr>
      <w:tr w:rsidR="00C4632D" w:rsidRPr="00C4632D" w:rsidTr="007F6C2F">
        <w:tc>
          <w:tcPr>
            <w:tcW w:w="5181" w:type="dxa"/>
          </w:tcPr>
          <w:p w:rsidR="00C4632D" w:rsidRPr="00C4632D" w:rsidRDefault="00C4632D" w:rsidP="00C463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Reduktion af budgettet på Træningshøjskolen</w:t>
            </w:r>
          </w:p>
        </w:tc>
        <w:tc>
          <w:tcPr>
            <w:tcW w:w="77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0,10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0,20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0,30</w:t>
            </w:r>
          </w:p>
        </w:tc>
      </w:tr>
      <w:tr w:rsidR="00C4632D" w:rsidRPr="00C4632D" w:rsidTr="007F6C2F">
        <w:tc>
          <w:tcPr>
            <w:tcW w:w="5181" w:type="dxa"/>
          </w:tcPr>
          <w:p w:rsidR="00C4632D" w:rsidRPr="00C4632D" w:rsidRDefault="00C4632D" w:rsidP="00C463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Reduktion af budgettet på Døgngenoptræningen</w:t>
            </w:r>
          </w:p>
        </w:tc>
        <w:tc>
          <w:tcPr>
            <w:tcW w:w="77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0,10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0,20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0,30</w:t>
            </w:r>
          </w:p>
        </w:tc>
      </w:tr>
      <w:tr w:rsidR="00C4632D" w:rsidRPr="00C4632D" w:rsidTr="007F6C2F">
        <w:tc>
          <w:tcPr>
            <w:tcW w:w="5181" w:type="dxa"/>
          </w:tcPr>
          <w:p w:rsidR="00C4632D" w:rsidRPr="00C4632D" w:rsidRDefault="00C4632D" w:rsidP="00C463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Reduktion af budgettet på Hospice Randers</w:t>
            </w:r>
          </w:p>
        </w:tc>
        <w:tc>
          <w:tcPr>
            <w:tcW w:w="77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0,20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0,35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0,45</w:t>
            </w:r>
          </w:p>
        </w:tc>
      </w:tr>
      <w:tr w:rsidR="00C4632D" w:rsidRPr="00C4632D" w:rsidTr="007F6C2F">
        <w:tc>
          <w:tcPr>
            <w:tcW w:w="5181" w:type="dxa"/>
          </w:tcPr>
          <w:p w:rsidR="00C4632D" w:rsidRPr="00C4632D" w:rsidRDefault="00C4632D" w:rsidP="00C463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Lukning af 9 aflastningsboliger</w:t>
            </w:r>
          </w:p>
        </w:tc>
        <w:tc>
          <w:tcPr>
            <w:tcW w:w="77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0,60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0,90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1,35</w:t>
            </w:r>
          </w:p>
        </w:tc>
      </w:tr>
      <w:tr w:rsidR="00C4632D" w:rsidRPr="00C4632D" w:rsidTr="007F6C2F">
        <w:tc>
          <w:tcPr>
            <w:tcW w:w="5181" w:type="dxa"/>
          </w:tcPr>
          <w:p w:rsidR="00C4632D" w:rsidRPr="00C4632D" w:rsidRDefault="00C4632D" w:rsidP="00C463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Reduktion af 2. hjælpertimer</w:t>
            </w:r>
          </w:p>
        </w:tc>
        <w:tc>
          <w:tcPr>
            <w:tcW w:w="77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0,50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1,00</w:t>
            </w:r>
          </w:p>
        </w:tc>
      </w:tr>
      <w:tr w:rsidR="00C4632D" w:rsidRPr="00C4632D" w:rsidTr="007F6C2F">
        <w:tc>
          <w:tcPr>
            <w:tcW w:w="5181" w:type="dxa"/>
          </w:tcPr>
          <w:p w:rsidR="00C4632D" w:rsidRPr="00C4632D" w:rsidRDefault="00C4632D" w:rsidP="00C463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Yderligere besparelser vedr. puljebeløb</w:t>
            </w:r>
          </w:p>
        </w:tc>
        <w:tc>
          <w:tcPr>
            <w:tcW w:w="77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0,75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1,50</w:t>
            </w:r>
          </w:p>
        </w:tc>
      </w:tr>
      <w:tr w:rsidR="00C4632D" w:rsidRPr="00C4632D" w:rsidTr="007F6C2F">
        <w:tc>
          <w:tcPr>
            <w:tcW w:w="5181" w:type="dxa"/>
          </w:tcPr>
          <w:p w:rsidR="00C4632D" w:rsidRPr="00C4632D" w:rsidRDefault="00C4632D" w:rsidP="00C463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Rengøring for en række borgere reduceres fra hver 2. uge til hver 3. uge</w:t>
            </w:r>
          </w:p>
        </w:tc>
        <w:tc>
          <w:tcPr>
            <w:tcW w:w="77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C4632D">
              <w:rPr>
                <w:rFonts w:ascii="Calibri" w:eastAsia="Calibri" w:hAnsi="Calibri" w:cs="Times New Roman"/>
              </w:rPr>
              <w:t>1,70</w:t>
            </w:r>
          </w:p>
        </w:tc>
      </w:tr>
      <w:tr w:rsidR="00C4632D" w:rsidRPr="00C4632D" w:rsidTr="007F6C2F">
        <w:tc>
          <w:tcPr>
            <w:tcW w:w="5181" w:type="dxa"/>
          </w:tcPr>
          <w:p w:rsidR="00C4632D" w:rsidRPr="00C4632D" w:rsidRDefault="00C4632D" w:rsidP="00C4632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4632D">
              <w:rPr>
                <w:rFonts w:ascii="Calibri" w:eastAsia="Calibri" w:hAnsi="Calibri" w:cs="Times New Roman"/>
                <w:b/>
              </w:rPr>
              <w:t>I alt</w:t>
            </w:r>
          </w:p>
        </w:tc>
        <w:tc>
          <w:tcPr>
            <w:tcW w:w="77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C4632D">
              <w:rPr>
                <w:rFonts w:ascii="Calibri" w:eastAsia="Calibri" w:hAnsi="Calibri" w:cs="Times New Roman"/>
                <w:b/>
              </w:rPr>
              <w:t>1,90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C4632D">
              <w:rPr>
                <w:rFonts w:ascii="Calibri" w:eastAsia="Calibri" w:hAnsi="Calibri" w:cs="Times New Roman"/>
                <w:b/>
              </w:rPr>
              <w:t>4,00</w:t>
            </w:r>
          </w:p>
        </w:tc>
        <w:tc>
          <w:tcPr>
            <w:tcW w:w="992" w:type="dxa"/>
          </w:tcPr>
          <w:p w:rsidR="00C4632D" w:rsidRPr="00C4632D" w:rsidRDefault="00C4632D" w:rsidP="00C4632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C4632D">
              <w:rPr>
                <w:rFonts w:ascii="Calibri" w:eastAsia="Calibri" w:hAnsi="Calibri" w:cs="Times New Roman"/>
                <w:b/>
              </w:rPr>
              <w:t>7,60</w:t>
            </w:r>
          </w:p>
        </w:tc>
      </w:tr>
    </w:tbl>
    <w:p w:rsidR="00C4632D" w:rsidRDefault="00C4632D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0C0C" w:rsidRDefault="00232601" w:rsidP="00D40C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Det bemærkes, at reduktionerne vil betyde</w:t>
      </w:r>
      <w:r w:rsidR="001F3FF2">
        <w:rPr>
          <w:rFonts w:ascii="Calibri" w:hAnsi="Calibri" w:cs="Calibri"/>
        </w:rPr>
        <w:t xml:space="preserve"> en forringet service</w:t>
      </w:r>
      <w:r>
        <w:rPr>
          <w:rFonts w:ascii="Calibri" w:hAnsi="Calibri" w:cs="Calibri"/>
        </w:rPr>
        <w:t xml:space="preserve"> til borgerne og at det er pladser, som er vigtige ind i udviklingen af det nære sundhedsvæsen. Sektor-med bemærker endvidere at forslaget om reduktion af 2. hjælpertimer</w:t>
      </w:r>
      <w:r w:rsidR="00D40C0C">
        <w:rPr>
          <w:rFonts w:ascii="Calibri" w:hAnsi="Calibri" w:cs="Calibri"/>
        </w:rPr>
        <w:t xml:space="preserve"> betyder dårligere tryghed både for borgerne og medarbejderne, hvilket ikke bør være i fokus. </w:t>
      </w:r>
    </w:p>
    <w:p w:rsidR="00232601" w:rsidRDefault="00232601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1F6" w:rsidRDefault="009631F6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1F6" w:rsidRDefault="006035E4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Endelig betyder den manglende prisfremskrivning at budgetterne langsomt udhules. </w:t>
      </w:r>
    </w:p>
    <w:p w:rsidR="00710C85" w:rsidRDefault="006035E4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Tilsammen vækker det bekymring, hvis disse skal gennemføres, da omsorgsområdet sættes yderligere under pres, ligesom at vilkårene for borgerne forringes betydeligt. </w:t>
      </w:r>
      <w:r w:rsidR="00232601">
        <w:rPr>
          <w:rFonts w:ascii="Calibri" w:hAnsi="Calibri" w:cs="Calibri"/>
        </w:rPr>
        <w:t xml:space="preserve">I den sammenhæng bemærkes, at der er områder der rammes hårdere, hvilket særligt gælder </w:t>
      </w:r>
      <w:r w:rsidR="002F403E">
        <w:rPr>
          <w:rFonts w:ascii="Calibri" w:hAnsi="Calibri" w:cs="Calibri"/>
        </w:rPr>
        <w:t>M</w:t>
      </w:r>
      <w:r w:rsidR="00232601">
        <w:rPr>
          <w:rFonts w:ascii="Calibri" w:hAnsi="Calibri" w:cs="Calibri"/>
        </w:rPr>
        <w:t xml:space="preserve">adservice </w:t>
      </w:r>
      <w:r w:rsidR="002F403E">
        <w:rPr>
          <w:rFonts w:ascii="Calibri" w:hAnsi="Calibri" w:cs="Calibri"/>
        </w:rPr>
        <w:t>K</w:t>
      </w:r>
      <w:r w:rsidR="00232601">
        <w:rPr>
          <w:rFonts w:ascii="Calibri" w:hAnsi="Calibri" w:cs="Calibri"/>
        </w:rPr>
        <w:t xml:space="preserve">ronjylland og </w:t>
      </w:r>
      <w:r w:rsidR="002F403E">
        <w:rPr>
          <w:rFonts w:ascii="Calibri" w:hAnsi="Calibri" w:cs="Calibri"/>
        </w:rPr>
        <w:t>H</w:t>
      </w:r>
      <w:r w:rsidR="00232601">
        <w:rPr>
          <w:rFonts w:ascii="Calibri" w:hAnsi="Calibri" w:cs="Calibri"/>
        </w:rPr>
        <w:t>jælpemiddelhuset</w:t>
      </w:r>
      <w:r w:rsidR="002F403E">
        <w:rPr>
          <w:rFonts w:ascii="Calibri" w:hAnsi="Calibri" w:cs="Calibri"/>
        </w:rPr>
        <w:t>, idet deres budget til øvrige udgifter er forholdsvist højt</w:t>
      </w:r>
      <w:r w:rsidR="00232601">
        <w:rPr>
          <w:rFonts w:ascii="Calibri" w:hAnsi="Calibri" w:cs="Calibri"/>
        </w:rPr>
        <w:t>.</w:t>
      </w:r>
    </w:p>
    <w:p w:rsidR="006035E4" w:rsidRDefault="006035E4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0C0C" w:rsidRDefault="006035E4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Sidst men ikke mindst ønsker Sektor-MED-udvalget set i lyset af den seneste politiske debat på ældreområdet at pege på behovet for </w:t>
      </w:r>
      <w:r w:rsidR="00D40C0C">
        <w:rPr>
          <w:rFonts w:ascii="Calibri" w:hAnsi="Calibri" w:cs="Calibri"/>
        </w:rPr>
        <w:t xml:space="preserve">positiv og vedholdende </w:t>
      </w:r>
      <w:r w:rsidRPr="00D40C0C">
        <w:rPr>
          <w:rFonts w:ascii="Calibri" w:hAnsi="Calibri" w:cs="Calibri"/>
        </w:rPr>
        <w:t>tillid</w:t>
      </w:r>
      <w:r w:rsidRPr="00B85A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fra det politiske system. </w:t>
      </w:r>
      <w:r w:rsidR="000831C5">
        <w:rPr>
          <w:rFonts w:ascii="Calibri" w:hAnsi="Calibri" w:cs="Calibri"/>
        </w:rPr>
        <w:t xml:space="preserve">Omsorgsområdet er fyldt med </w:t>
      </w:r>
      <w:r>
        <w:rPr>
          <w:rFonts w:ascii="Calibri" w:hAnsi="Calibri" w:cs="Calibri"/>
        </w:rPr>
        <w:t>medarbejdere og ledere</w:t>
      </w:r>
      <w:r w:rsidR="000831C5">
        <w:rPr>
          <w:rFonts w:ascii="Calibri" w:hAnsi="Calibri" w:cs="Calibri"/>
        </w:rPr>
        <w:t>, der hver dag</w:t>
      </w:r>
      <w:r>
        <w:rPr>
          <w:rFonts w:ascii="Calibri" w:hAnsi="Calibri" w:cs="Calibri"/>
        </w:rPr>
        <w:t xml:space="preserve"> går på arbejde </w:t>
      </w:r>
      <w:r w:rsidR="000831C5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g gør et </w:t>
      </w:r>
      <w:r w:rsidR="00BC0C6C">
        <w:rPr>
          <w:rFonts w:ascii="Calibri" w:hAnsi="Calibri" w:cs="Calibri"/>
        </w:rPr>
        <w:t>godt stykke arbejde for</w:t>
      </w:r>
      <w:r w:rsidR="000831C5">
        <w:rPr>
          <w:rFonts w:ascii="Calibri" w:hAnsi="Calibri" w:cs="Calibri"/>
        </w:rPr>
        <w:t xml:space="preserve"> borgere, der har brug for hjælp i </w:t>
      </w:r>
      <w:r w:rsidR="000831C5">
        <w:rPr>
          <w:rFonts w:ascii="Calibri" w:hAnsi="Calibri" w:cs="Calibri"/>
        </w:rPr>
        <w:lastRenderedPageBreak/>
        <w:t>Randers Kommune</w:t>
      </w:r>
      <w:r>
        <w:rPr>
          <w:rFonts w:ascii="Calibri" w:hAnsi="Calibri" w:cs="Calibri"/>
        </w:rPr>
        <w:t>.</w:t>
      </w:r>
      <w:r w:rsidR="000831C5">
        <w:rPr>
          <w:rFonts w:ascii="Calibri" w:hAnsi="Calibri" w:cs="Calibri"/>
        </w:rPr>
        <w:t xml:space="preserve"> </w:t>
      </w:r>
      <w:r w:rsidR="00BC0C6C">
        <w:rPr>
          <w:rFonts w:ascii="Calibri" w:hAnsi="Calibri" w:cs="Calibri"/>
        </w:rPr>
        <w:t xml:space="preserve"> </w:t>
      </w:r>
      <w:r w:rsidR="00D40C0C">
        <w:rPr>
          <w:rFonts w:ascii="Calibri" w:hAnsi="Calibri" w:cs="Calibri"/>
        </w:rPr>
        <w:t xml:space="preserve">Såfremt man politisk vil sætte fokus på kompetenceudvikling gør sektor-med opmærksom på, at der hermed også går tid fra til at deltage i kompetenceudviklingen. </w:t>
      </w:r>
      <w:r w:rsidR="00BC0C6C">
        <w:rPr>
          <w:rFonts w:ascii="Calibri" w:hAnsi="Calibri" w:cs="Calibri"/>
        </w:rPr>
        <w:t>Dertil kommer at omsorgsområdet allerede nu, men også fremover vil blive stærkt udfordret af et tyndt rekrutteringsgrundlag.</w:t>
      </w:r>
      <w:r w:rsidR="00D40C0C">
        <w:rPr>
          <w:rFonts w:ascii="Calibri" w:hAnsi="Calibri" w:cs="Calibri"/>
        </w:rPr>
        <w:t xml:space="preserve"> En situation, hvor der bliver kastet tvivl om omsorgsområdet kan få konsekvenser også for det fremtidige rekrutteringsgrundlag ligesom at arbejdsmiljøet samlet set opleves at bliver sat under et negativt pres.</w:t>
      </w:r>
    </w:p>
    <w:p w:rsidR="00710C85" w:rsidRPr="00C05820" w:rsidRDefault="000831C5" w:rsidP="009C2A4C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ascii="Calibri" w:hAnsi="Calibri" w:cs="Calibri"/>
        </w:rPr>
        <w:t>Der er</w:t>
      </w:r>
      <w:r w:rsidR="00BC0C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brug for at omsorgsområdet bliver talt op</w:t>
      </w:r>
      <w:r w:rsidR="002F403E">
        <w:rPr>
          <w:rFonts w:ascii="Calibri" w:hAnsi="Calibri" w:cs="Calibri"/>
        </w:rPr>
        <w:t>, så vi kan tiltrække flere dygtige medarbejdere</w:t>
      </w:r>
      <w:r>
        <w:rPr>
          <w:rFonts w:ascii="Calibri" w:hAnsi="Calibri" w:cs="Calibri"/>
        </w:rPr>
        <w:t xml:space="preserve"> og at der bakkes op omkring vores virksomhed og hvad vi står for, </w:t>
      </w:r>
      <w:r w:rsidR="002F403E">
        <w:rPr>
          <w:rFonts w:ascii="Calibri" w:hAnsi="Calibri" w:cs="Calibri"/>
        </w:rPr>
        <w:t>til glæde for borgere og deres pårørende</w:t>
      </w:r>
      <w:r>
        <w:rPr>
          <w:rFonts w:ascii="Calibri" w:hAnsi="Calibri" w:cs="Calibri"/>
        </w:rPr>
        <w:t xml:space="preserve">. </w:t>
      </w:r>
    </w:p>
    <w:p w:rsidR="006A4F37" w:rsidRPr="00C05820" w:rsidRDefault="006A4F37" w:rsidP="00D817CE">
      <w:pPr>
        <w:spacing w:after="0"/>
        <w:rPr>
          <w:rFonts w:cs="Calibri"/>
          <w:szCs w:val="24"/>
        </w:rPr>
      </w:pPr>
    </w:p>
    <w:p w:rsidR="006A4F37" w:rsidRPr="00C05820" w:rsidRDefault="006A4F37" w:rsidP="00D817CE">
      <w:pPr>
        <w:spacing w:after="0"/>
        <w:rPr>
          <w:rFonts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50"/>
        <w:gridCol w:w="3903"/>
      </w:tblGrid>
      <w:tr w:rsidR="006A4F37" w:rsidRPr="00C05820" w:rsidTr="00C7181C">
        <w:tc>
          <w:tcPr>
            <w:tcW w:w="5197" w:type="dxa"/>
          </w:tcPr>
          <w:p w:rsidR="006A4F37" w:rsidRDefault="009C2A4C" w:rsidP="00D817C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Lene Jensen</w:t>
            </w:r>
          </w:p>
          <w:p w:rsidR="009C2A4C" w:rsidRPr="00C05820" w:rsidRDefault="009C2A4C" w:rsidP="00D817C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Formand</w:t>
            </w:r>
          </w:p>
        </w:tc>
        <w:tc>
          <w:tcPr>
            <w:tcW w:w="5198" w:type="dxa"/>
          </w:tcPr>
          <w:p w:rsidR="006035E4" w:rsidRDefault="006035E4" w:rsidP="00D817C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Gitte Mygind</w:t>
            </w:r>
          </w:p>
          <w:p w:rsidR="009C2A4C" w:rsidRPr="00C05820" w:rsidRDefault="009C2A4C" w:rsidP="00D817C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Næstformand</w:t>
            </w:r>
          </w:p>
        </w:tc>
      </w:tr>
      <w:tr w:rsidR="009C2A4C" w:rsidRPr="00C05820" w:rsidTr="00C7181C">
        <w:tc>
          <w:tcPr>
            <w:tcW w:w="5197" w:type="dxa"/>
          </w:tcPr>
          <w:p w:rsidR="009C2A4C" w:rsidRDefault="009C2A4C" w:rsidP="00D817CE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5198" w:type="dxa"/>
          </w:tcPr>
          <w:p w:rsidR="009C2A4C" w:rsidRDefault="009C2A4C" w:rsidP="00D817CE">
            <w:pPr>
              <w:spacing w:after="0"/>
              <w:rPr>
                <w:rFonts w:cs="Calibri"/>
                <w:szCs w:val="24"/>
              </w:rPr>
            </w:pPr>
          </w:p>
        </w:tc>
      </w:tr>
    </w:tbl>
    <w:p w:rsidR="00F46158" w:rsidRPr="00F46158" w:rsidRDefault="00F46158" w:rsidP="00F46158"/>
    <w:sectPr w:rsidR="00F46158" w:rsidRPr="00F46158" w:rsidSect="00FF3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2835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95" w:rsidRDefault="00495395" w:rsidP="00A6335A">
      <w:pPr>
        <w:spacing w:after="0" w:line="240" w:lineRule="auto"/>
      </w:pPr>
      <w:r>
        <w:separator/>
      </w:r>
    </w:p>
  </w:endnote>
  <w:endnote w:type="continuationSeparator" w:id="0">
    <w:p w:rsidR="00495395" w:rsidRDefault="00495395" w:rsidP="00A6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E44D0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E9" w:rsidRPr="00E44D03" w:rsidRDefault="00856FE9" w:rsidP="00E44D0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E44D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95" w:rsidRDefault="00495395" w:rsidP="00A6335A">
      <w:pPr>
        <w:spacing w:after="0" w:line="240" w:lineRule="auto"/>
      </w:pPr>
      <w:r>
        <w:separator/>
      </w:r>
    </w:p>
  </w:footnote>
  <w:footnote w:type="continuationSeparator" w:id="0">
    <w:p w:rsidR="00495395" w:rsidRDefault="00495395" w:rsidP="00A6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E44D0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E44D0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E44D0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37"/>
    <w:rsid w:val="000705F1"/>
    <w:rsid w:val="000831C5"/>
    <w:rsid w:val="000D3DF8"/>
    <w:rsid w:val="00131C73"/>
    <w:rsid w:val="0013441E"/>
    <w:rsid w:val="00140062"/>
    <w:rsid w:val="00186075"/>
    <w:rsid w:val="001C7246"/>
    <w:rsid w:val="001F3FF2"/>
    <w:rsid w:val="00215178"/>
    <w:rsid w:val="0022720E"/>
    <w:rsid w:val="00232601"/>
    <w:rsid w:val="00247D0A"/>
    <w:rsid w:val="002850DB"/>
    <w:rsid w:val="002861A2"/>
    <w:rsid w:val="002F403E"/>
    <w:rsid w:val="002F7670"/>
    <w:rsid w:val="00367F68"/>
    <w:rsid w:val="00374714"/>
    <w:rsid w:val="003B0DA5"/>
    <w:rsid w:val="003D0A4E"/>
    <w:rsid w:val="003D422A"/>
    <w:rsid w:val="00401822"/>
    <w:rsid w:val="0041405D"/>
    <w:rsid w:val="004273BF"/>
    <w:rsid w:val="00447E9F"/>
    <w:rsid w:val="00480CCC"/>
    <w:rsid w:val="0048202D"/>
    <w:rsid w:val="00487F0E"/>
    <w:rsid w:val="00494668"/>
    <w:rsid w:val="00495395"/>
    <w:rsid w:val="004B0089"/>
    <w:rsid w:val="004C7B1F"/>
    <w:rsid w:val="004E618E"/>
    <w:rsid w:val="00523619"/>
    <w:rsid w:val="005963B3"/>
    <w:rsid w:val="005F1158"/>
    <w:rsid w:val="006035E4"/>
    <w:rsid w:val="00605665"/>
    <w:rsid w:val="00610B01"/>
    <w:rsid w:val="006135C8"/>
    <w:rsid w:val="0062596E"/>
    <w:rsid w:val="006263B9"/>
    <w:rsid w:val="00636EF6"/>
    <w:rsid w:val="00647B5B"/>
    <w:rsid w:val="00680BE6"/>
    <w:rsid w:val="0068168C"/>
    <w:rsid w:val="00683E80"/>
    <w:rsid w:val="006A4F37"/>
    <w:rsid w:val="006B75C5"/>
    <w:rsid w:val="006D076E"/>
    <w:rsid w:val="006D70DB"/>
    <w:rsid w:val="00710C85"/>
    <w:rsid w:val="00733E69"/>
    <w:rsid w:val="007D4650"/>
    <w:rsid w:val="00800C32"/>
    <w:rsid w:val="00813324"/>
    <w:rsid w:val="00837764"/>
    <w:rsid w:val="00856FE9"/>
    <w:rsid w:val="00882142"/>
    <w:rsid w:val="008937E1"/>
    <w:rsid w:val="008E1813"/>
    <w:rsid w:val="008F465B"/>
    <w:rsid w:val="00901044"/>
    <w:rsid w:val="009631F6"/>
    <w:rsid w:val="00970D2C"/>
    <w:rsid w:val="009975F0"/>
    <w:rsid w:val="009C2A4C"/>
    <w:rsid w:val="009D13A0"/>
    <w:rsid w:val="009E7AAB"/>
    <w:rsid w:val="00A55015"/>
    <w:rsid w:val="00A6335A"/>
    <w:rsid w:val="00A85A30"/>
    <w:rsid w:val="00AB4FA3"/>
    <w:rsid w:val="00AB6C33"/>
    <w:rsid w:val="00B85A54"/>
    <w:rsid w:val="00BC0C6C"/>
    <w:rsid w:val="00BD00FE"/>
    <w:rsid w:val="00C4632D"/>
    <w:rsid w:val="00CC0486"/>
    <w:rsid w:val="00CD6B58"/>
    <w:rsid w:val="00D40C0C"/>
    <w:rsid w:val="00D92DC1"/>
    <w:rsid w:val="00DB088C"/>
    <w:rsid w:val="00DB366F"/>
    <w:rsid w:val="00E063FF"/>
    <w:rsid w:val="00E4300A"/>
    <w:rsid w:val="00E44D03"/>
    <w:rsid w:val="00E86BFB"/>
    <w:rsid w:val="00EF18DB"/>
    <w:rsid w:val="00F00B95"/>
    <w:rsid w:val="00F46158"/>
    <w:rsid w:val="00F5702B"/>
    <w:rsid w:val="00F71C5B"/>
    <w:rsid w:val="00F94689"/>
    <w:rsid w:val="00FA25D6"/>
    <w:rsid w:val="00FB7295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62"/>
    <w:pPr>
      <w:spacing w:after="280" w:line="280" w:lineRule="exac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4615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6158"/>
    <w:pPr>
      <w:keepNext/>
      <w:keepLines/>
      <w:spacing w:before="28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6158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46158"/>
    <w:rPr>
      <w:rFonts w:eastAsiaTheme="majorEastAsi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6158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46158"/>
    <w:rPr>
      <w:rFonts w:eastAsiaTheme="majorEastAsia" w:cstheme="majorBidi"/>
      <w:bCs/>
      <w:i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88C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F4615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46158"/>
    <w:rPr>
      <w:rFonts w:eastAsiaTheme="majorEastAsia" w:cstheme="majorBidi"/>
      <w:b/>
      <w:spacing w:val="5"/>
      <w:kern w:val="28"/>
      <w:sz w:val="32"/>
      <w:szCs w:val="52"/>
    </w:rPr>
  </w:style>
  <w:style w:type="paragraph" w:styleId="Ingenafstand">
    <w:name w:val="No Spacing"/>
    <w:uiPriority w:val="1"/>
    <w:qFormat/>
    <w:rsid w:val="00140062"/>
    <w:pPr>
      <w:spacing w:after="0" w:line="280" w:lineRule="exact"/>
    </w:pPr>
  </w:style>
  <w:style w:type="character" w:styleId="Hyperlink">
    <w:name w:val="Hyperlink"/>
    <w:basedOn w:val="Standardskrifttypeiafsnit"/>
    <w:uiPriority w:val="99"/>
    <w:unhideWhenUsed/>
    <w:rsid w:val="001C724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63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335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63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335A"/>
    <w:rPr>
      <w:sz w:val="20"/>
    </w:rPr>
  </w:style>
  <w:style w:type="paragraph" w:customStyle="1" w:styleId="brevtekst">
    <w:name w:val="brevtekst"/>
    <w:basedOn w:val="Normal"/>
    <w:link w:val="brevtekstTegn"/>
    <w:qFormat/>
    <w:rsid w:val="006A4F37"/>
    <w:pPr>
      <w:spacing w:after="0" w:line="200" w:lineRule="exact"/>
    </w:pPr>
    <w:rPr>
      <w:rFonts w:eastAsiaTheme="minorEastAsia" w:cs="Calibri"/>
      <w:color w:val="929496"/>
      <w:sz w:val="16"/>
      <w:szCs w:val="20"/>
      <w:lang w:eastAsia="da-DK"/>
    </w:rPr>
  </w:style>
  <w:style w:type="character" w:customStyle="1" w:styleId="brevtekstTegn">
    <w:name w:val="brevtekst Tegn"/>
    <w:basedOn w:val="Standardskrifttypeiafsnit"/>
    <w:link w:val="brevtekst"/>
    <w:locked/>
    <w:rsid w:val="006A4F37"/>
    <w:rPr>
      <w:rFonts w:eastAsiaTheme="minorEastAsia" w:cs="Calibri"/>
      <w:color w:val="929496"/>
      <w:sz w:val="16"/>
      <w:szCs w:val="20"/>
      <w:lang w:eastAsia="da-DK"/>
    </w:rPr>
  </w:style>
  <w:style w:type="table" w:styleId="Tabel-Gitter">
    <w:name w:val="Table Grid"/>
    <w:basedOn w:val="Tabel-Normal"/>
    <w:uiPriority w:val="39"/>
    <w:rsid w:val="00C4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2020-09-11T08:04:00Z</dcterms:created>
  <dcterms:modified xsi:type="dcterms:W3CDTF">2020-09-11T08:04:00Z</dcterms:modified>
</cp:coreProperties>
</file>