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4A31" w:rsidRPr="00053D0C" w:rsidRDefault="00474A31" w:rsidP="00053D0C">
      <w:pPr>
        <w:pStyle w:val="Titel"/>
        <w:rPr>
          <w:sz w:val="48"/>
          <w:szCs w:val="48"/>
        </w:rPr>
      </w:pPr>
      <w:r w:rsidRPr="00E44BF2">
        <w:rPr>
          <w:sz w:val="48"/>
          <w:szCs w:val="48"/>
        </w:rPr>
        <w:t>Høringssvar vedrørende etabler</w:t>
      </w:r>
      <w:r>
        <w:rPr>
          <w:sz w:val="48"/>
          <w:szCs w:val="48"/>
        </w:rPr>
        <w:t>ing af</w:t>
      </w:r>
      <w:r w:rsidRPr="00E44BF2">
        <w:rPr>
          <w:sz w:val="48"/>
          <w:szCs w:val="48"/>
        </w:rPr>
        <w:t xml:space="preserve"> energianlæg i området ved Overgaard, Dalbyneder og Sødring</w:t>
      </w:r>
    </w:p>
    <w:p w:rsidR="00053D0C" w:rsidRDefault="00053D0C" w:rsidP="00053D0C"/>
    <w:p w:rsidR="00053D0C" w:rsidRDefault="00053D0C" w:rsidP="00053D0C">
      <w:r>
        <w:t xml:space="preserve">Hermed fremsendes høringssvar vedrørende Randers Kommunes høring om de ansøgte projekter om etablering af </w:t>
      </w:r>
      <w:r w:rsidR="00F65F60">
        <w:t>energi</w:t>
      </w:r>
      <w:r>
        <w:t xml:space="preserve">anlæg ved Overgaard Gods, Dalbyneder og Sødring. </w:t>
      </w:r>
    </w:p>
    <w:p w:rsidR="00053D0C" w:rsidRDefault="00053D0C" w:rsidP="00053D0C">
      <w:r>
        <w:t xml:space="preserve">Høringssvaret vedrører alle tre ansøgninger. </w:t>
      </w:r>
    </w:p>
    <w:p w:rsidR="00053D0C" w:rsidRPr="00053D0C" w:rsidRDefault="00053D0C" w:rsidP="00053D0C">
      <w:r>
        <w:t xml:space="preserve">Følgende emner behandles i høringssvaret: </w:t>
      </w:r>
    </w:p>
    <w:p w:rsidR="00474A31" w:rsidRDefault="00474A31" w:rsidP="00474A31">
      <w:pPr>
        <w:pStyle w:val="Listeafsnit"/>
        <w:numPr>
          <w:ilvl w:val="0"/>
          <w:numId w:val="1"/>
        </w:numPr>
      </w:pPr>
      <w:r>
        <w:t xml:space="preserve">Områdets natur og fauna </w:t>
      </w:r>
    </w:p>
    <w:p w:rsidR="00474A31" w:rsidRDefault="00474A31" w:rsidP="00474A31">
      <w:pPr>
        <w:pStyle w:val="Listeafsnit"/>
        <w:numPr>
          <w:ilvl w:val="0"/>
          <w:numId w:val="3"/>
        </w:numPr>
      </w:pPr>
      <w:r>
        <w:t>Særlige og beskyttede områder</w:t>
      </w:r>
      <w:r w:rsidRPr="00A24A96">
        <w:t xml:space="preserve"> </w:t>
      </w:r>
    </w:p>
    <w:p w:rsidR="00474A31" w:rsidRDefault="00474A31" w:rsidP="00474A31">
      <w:pPr>
        <w:pStyle w:val="Listeafsnit"/>
        <w:numPr>
          <w:ilvl w:val="0"/>
          <w:numId w:val="3"/>
        </w:numPr>
      </w:pPr>
      <w:r>
        <w:t>Fredede diger</w:t>
      </w:r>
      <w:r w:rsidRPr="00852A09">
        <w:t xml:space="preserve"> </w:t>
      </w:r>
    </w:p>
    <w:p w:rsidR="00474A31" w:rsidRDefault="00474A31" w:rsidP="00474A31">
      <w:pPr>
        <w:pStyle w:val="Listeafsnit"/>
        <w:numPr>
          <w:ilvl w:val="0"/>
          <w:numId w:val="3"/>
        </w:numPr>
      </w:pPr>
      <w:r>
        <w:t xml:space="preserve">Skovbyggelinjen </w:t>
      </w:r>
    </w:p>
    <w:p w:rsidR="00370CB4" w:rsidRDefault="00474A31" w:rsidP="00370CB4">
      <w:pPr>
        <w:pStyle w:val="Listeafsnit"/>
        <w:numPr>
          <w:ilvl w:val="0"/>
          <w:numId w:val="3"/>
        </w:numPr>
      </w:pPr>
      <w:proofErr w:type="gramStart"/>
      <w:r>
        <w:t>Særligt værdifuldt landbrugsjord</w:t>
      </w:r>
      <w:proofErr w:type="gramEnd"/>
      <w:r w:rsidRPr="00B57CD2">
        <w:t xml:space="preserve"> </w:t>
      </w:r>
    </w:p>
    <w:p w:rsidR="00370CB4" w:rsidRPr="00776A2E" w:rsidRDefault="00370CB4" w:rsidP="00370CB4">
      <w:pPr>
        <w:pStyle w:val="Listeafsnit"/>
        <w:numPr>
          <w:ilvl w:val="0"/>
          <w:numId w:val="3"/>
        </w:numPr>
      </w:pPr>
      <w:r w:rsidRPr="00776A2E">
        <w:t>Naturpark Randers Fjord</w:t>
      </w:r>
    </w:p>
    <w:p w:rsidR="00474A31" w:rsidRDefault="00474A31" w:rsidP="00370CB4">
      <w:pPr>
        <w:pStyle w:val="Listeafsnit"/>
        <w:numPr>
          <w:ilvl w:val="0"/>
          <w:numId w:val="3"/>
        </w:numPr>
      </w:pPr>
      <w:r>
        <w:t>Truede og beskyttede arter</w:t>
      </w:r>
      <w:r w:rsidR="00370CB4" w:rsidRPr="00370CB4">
        <w:rPr>
          <w:i/>
          <w:iCs/>
        </w:rPr>
        <w:t xml:space="preserve"> </w:t>
      </w:r>
    </w:p>
    <w:p w:rsidR="00FF296E" w:rsidRDefault="00FF296E" w:rsidP="00FF296E">
      <w:pPr>
        <w:pStyle w:val="Listeafsnit"/>
        <w:numPr>
          <w:ilvl w:val="0"/>
          <w:numId w:val="1"/>
        </w:numPr>
      </w:pPr>
      <w:r>
        <w:t xml:space="preserve">Grøn pulje </w:t>
      </w:r>
    </w:p>
    <w:p w:rsidR="00474A31" w:rsidRDefault="00EB1F2E" w:rsidP="00474A31">
      <w:pPr>
        <w:pStyle w:val="Listeafsnit"/>
        <w:numPr>
          <w:ilvl w:val="0"/>
          <w:numId w:val="1"/>
        </w:numPr>
      </w:pPr>
      <w:r w:rsidRPr="00717C27">
        <w:t xml:space="preserve">Konsekvenser for bosætning og udvikling i landdistrikterne </w:t>
      </w:r>
    </w:p>
    <w:p w:rsidR="0072122C" w:rsidRDefault="0072122C" w:rsidP="0072122C">
      <w:pPr>
        <w:pStyle w:val="Listeafsnit"/>
      </w:pPr>
    </w:p>
    <w:p w:rsidR="00474A31" w:rsidRPr="0070321E" w:rsidRDefault="00474A31" w:rsidP="00474A31">
      <w:pPr>
        <w:pStyle w:val="Overskrift2"/>
      </w:pPr>
      <w:r>
        <w:t xml:space="preserve">Områdets natur og fauna </w:t>
      </w:r>
      <w:r>
        <w:br/>
      </w:r>
    </w:p>
    <w:p w:rsidR="00474A31" w:rsidRDefault="00474A31" w:rsidP="00474A31">
      <w:r>
        <w:t>Byrådet bør gøre sig klart, at de udpegede områder udgør særlige naturområder med rigt dyreliv og biodiversitet, herunder også en lang række truede og beskyttede arter.</w:t>
      </w:r>
    </w:p>
    <w:p w:rsidR="00474A31" w:rsidRDefault="00474A31" w:rsidP="00474A31">
      <w:r>
        <w:t>Der er derfor stor risiko for, at etablering af det massive vedvarende energianlæg i de pågældende områder kommer til at ske på bekostning af områdets rige natur, dyreliv og biodiversitet.</w:t>
      </w:r>
    </w:p>
    <w:p w:rsidR="00474A31" w:rsidRPr="0072122C" w:rsidRDefault="00474A31" w:rsidP="00474A31">
      <w:pPr>
        <w:pStyle w:val="Overskrift4"/>
      </w:pPr>
      <w:r w:rsidRPr="0072122C">
        <w:t xml:space="preserve">Særlige og beskyttede områder </w:t>
      </w:r>
    </w:p>
    <w:p w:rsidR="00474A31" w:rsidRPr="00474A31" w:rsidRDefault="00474A31" w:rsidP="00474A31">
      <w:pPr>
        <w:rPr>
          <w:sz w:val="24"/>
          <w:szCs w:val="24"/>
        </w:rPr>
      </w:pPr>
      <w:r w:rsidRPr="00380D99">
        <w:rPr>
          <w:i/>
          <w:iCs/>
        </w:rPr>
        <w:t xml:space="preserve">Solcelleparken ved Overgaard </w:t>
      </w:r>
      <w:r>
        <w:br/>
        <w:t xml:space="preserve">Området </w:t>
      </w:r>
      <w:r w:rsidRPr="00380D99">
        <w:t xml:space="preserve">lige nord for solcelleparken er både </w:t>
      </w:r>
      <w:proofErr w:type="spellStart"/>
      <w:r w:rsidRPr="00380D99">
        <w:t>ramsar</w:t>
      </w:r>
      <w:proofErr w:type="spellEnd"/>
      <w:r w:rsidRPr="00380D99">
        <w:t xml:space="preserve">-, Natura 2000 og fuglebeskyttelsesområde. </w:t>
      </w:r>
      <w:r>
        <w:br/>
      </w:r>
      <w:r>
        <w:br/>
        <w:t>Det udpegede område til solcelleparken ligger således lige op af et område, som er særligt udpeget i henhold til EU’s habitatdirektiv (</w:t>
      </w:r>
      <w:r w:rsidRPr="00532C78">
        <w:t>Rådets direktiv 92/43/EØF af 21. maj 1992 om bevaring af naturtyper samt vilde dyr og planter</w:t>
      </w:r>
      <w:r>
        <w:t xml:space="preserve">), da der er tale om karakteristiske naturtyper, samt at område, hvor der lever sjældne og truede arter. Der er derfor overhængende risiko for at forstyrre leve- og ynglestederne for en lang række sjældne og truede arter. </w:t>
      </w:r>
    </w:p>
    <w:p w:rsidR="00474A31" w:rsidRDefault="00474A31" w:rsidP="00474A31">
      <w:r>
        <w:t>Der skal derfor tages højde for, hvordan solcelleparken vil påvirke den beskyttede natur og det vildt, som lever og yngler lige ved siden af solcelleparken. Området er er allerede præget af de store vindmøller, som blev opstillet i 2020-2021. En solcellepark vil medføre en yderligere og markant ændring af området.</w:t>
      </w:r>
    </w:p>
    <w:p w:rsidR="00D116BB" w:rsidRDefault="00474A31" w:rsidP="00474A31">
      <w:pPr>
        <w:pStyle w:val="Listeafsnit"/>
        <w:numPr>
          <w:ilvl w:val="0"/>
          <w:numId w:val="7"/>
        </w:numPr>
      </w:pPr>
      <w:r>
        <w:t xml:space="preserve">Byrådet bør derfor undersøge, hvilken betydning solcelleparken får for de beskyttede områder, herunder om der er risiko for, at udpegningsgrundlaget af Natura 2000-, </w:t>
      </w:r>
      <w:proofErr w:type="spellStart"/>
      <w:r>
        <w:t>ramsar</w:t>
      </w:r>
      <w:proofErr w:type="spellEnd"/>
      <w:r>
        <w:t xml:space="preserve">- og fuglebeskyttelsesområdet vil forsvinde. Dette vil i så fald være et tab for den danske natur og ikke </w:t>
      </w:r>
      <w:r>
        <w:lastRenderedPageBreak/>
        <w:t xml:space="preserve">mindst i strid Danmarks forpligtelse til at overholde reglerne i habitatdirektivet. Byrådet skal sikre sig, at der ikke handles i strid med disse forpligtelser. </w:t>
      </w:r>
    </w:p>
    <w:p w:rsidR="00D116BB" w:rsidRDefault="00D116BB" w:rsidP="00D116BB">
      <w:pPr>
        <w:pStyle w:val="Listeafsnit"/>
      </w:pPr>
    </w:p>
    <w:p w:rsidR="00474A31" w:rsidRPr="00462956" w:rsidRDefault="00D116BB" w:rsidP="00D116BB">
      <w:pPr>
        <w:pStyle w:val="Listeafsnit"/>
      </w:pPr>
      <w:r>
        <w:t xml:space="preserve">Der bør således </w:t>
      </w:r>
      <w:r w:rsidR="00482587">
        <w:t xml:space="preserve">udarbejdes </w:t>
      </w:r>
      <w:r>
        <w:t>en udførlig konsekvensvurdering</w:t>
      </w:r>
      <w:r w:rsidR="00482587">
        <w:t xml:space="preserve"> af en uvildig aktør. </w:t>
      </w:r>
      <w:r w:rsidR="00462956">
        <w:br/>
      </w:r>
    </w:p>
    <w:p w:rsidR="00474A31" w:rsidRPr="008E5A2F" w:rsidRDefault="00474A31" w:rsidP="00474A31">
      <w:pPr>
        <w:rPr>
          <w:i/>
          <w:iCs/>
        </w:rPr>
      </w:pPr>
      <w:r w:rsidRPr="008E5A2F">
        <w:rPr>
          <w:i/>
          <w:iCs/>
        </w:rPr>
        <w:t>Solcelleparken og seks nye møller ved Sødring</w:t>
      </w:r>
      <w:r>
        <w:rPr>
          <w:i/>
          <w:iCs/>
        </w:rPr>
        <w:br/>
      </w:r>
      <w:r>
        <w:t xml:space="preserve">Byrådet skal ved vurderingen af solcelleparken, samt de seks nye møller, ved Sødring, tage højde for, at der både i og i umiddelbar nærhed af det udpegede område til solcellerne er beskyttet natur. Området grænser flere steder op til naturtyper, som er beskyttet i medfør af </w:t>
      </w:r>
      <w:r w:rsidRPr="008A4611">
        <w:t>naturbeskyttelseslovens § 3</w:t>
      </w:r>
      <w:r>
        <w:t>.</w:t>
      </w:r>
    </w:p>
    <w:p w:rsidR="00474A31" w:rsidRDefault="00474A31" w:rsidP="00474A31">
      <w:r>
        <w:t xml:space="preserve">Dertil kommer, at langs kysten, lige ved siden af det udpegede område, befinder sig ét af Danmarks naturreservater, Sødring Naturreservat, som er sikret ved bekendtgørelse nr. </w:t>
      </w:r>
      <w:r w:rsidRPr="00C35348">
        <w:t>9528 af 11</w:t>
      </w:r>
      <w:r>
        <w:t xml:space="preserve">. april </w:t>
      </w:r>
      <w:r w:rsidRPr="00C35348">
        <w:t>1999</w:t>
      </w:r>
      <w:r>
        <w:t xml:space="preserve"> om Sødring Naturreservat. I reservatet lever og yngler en lang række truede og beskyttede fuglearter. </w:t>
      </w:r>
    </w:p>
    <w:p w:rsidR="00474A31" w:rsidRDefault="00474A31" w:rsidP="00474A31">
      <w:pPr>
        <w:pStyle w:val="Listeafsnit"/>
        <w:numPr>
          <w:ilvl w:val="0"/>
          <w:numId w:val="4"/>
        </w:numPr>
      </w:pPr>
      <w:r>
        <w:t xml:space="preserve">Byrådet bør derfor sikre sig, at etableringen af solcelleparken og yderligere vindmøller – med større vingefang end de øvrige møller, ikke får betydning for reservatet, samt de naturområder, der er særligt beskyttet i medfør af naturbeskyttelseslovens § 3 og at etableringen af solcelleparken og vindmøllerne ikke vil være i strid med naturbeskyttelseslovens § 3. </w:t>
      </w:r>
    </w:p>
    <w:p w:rsidR="00BA2A71" w:rsidRPr="00BA2A71" w:rsidRDefault="00BA2A71" w:rsidP="00BA2A71">
      <w:pPr>
        <w:pStyle w:val="Listeafsnit"/>
        <w:ind w:left="777"/>
      </w:pPr>
    </w:p>
    <w:p w:rsidR="00474A31" w:rsidRPr="00474A31" w:rsidRDefault="00474A31" w:rsidP="00474A31">
      <w:pPr>
        <w:rPr>
          <w:i/>
          <w:iCs/>
          <w:sz w:val="20"/>
          <w:szCs w:val="20"/>
        </w:rPr>
      </w:pPr>
      <w:r w:rsidRPr="008E5A2F">
        <w:rPr>
          <w:i/>
          <w:iCs/>
        </w:rPr>
        <w:t>Solcelleparken ved Dalbyneder</w:t>
      </w:r>
      <w:r>
        <w:rPr>
          <w:i/>
          <w:iCs/>
          <w:sz w:val="20"/>
          <w:szCs w:val="20"/>
        </w:rPr>
        <w:br/>
      </w:r>
      <w:r>
        <w:t xml:space="preserve">Ved vurderingen af placeringen af solcelleparken ved Dalbyneder, skal byrådet ligeledes tage højde for, at der også i dette område er naturtyper, som er beskyttet i medfør af </w:t>
      </w:r>
      <w:r w:rsidRPr="008A4611">
        <w:t>naturbeskyttelseslovens § 3</w:t>
      </w:r>
      <w:r>
        <w:t xml:space="preserve">. </w:t>
      </w:r>
    </w:p>
    <w:p w:rsidR="00474A31" w:rsidRDefault="00474A31" w:rsidP="00474A31">
      <w:pPr>
        <w:pStyle w:val="Listeafsnit"/>
        <w:numPr>
          <w:ilvl w:val="0"/>
          <w:numId w:val="4"/>
        </w:numPr>
      </w:pPr>
      <w:r>
        <w:t xml:space="preserve">Byrådet skal derfor også for dette område sikre sig, at der ikke handles i strid med naturbeskyttelseslovens § 3. </w:t>
      </w:r>
    </w:p>
    <w:p w:rsidR="00474A31" w:rsidRDefault="00474A31" w:rsidP="00474A31">
      <w:r>
        <w:t xml:space="preserve">Midt i det udpegede område, befinder der sig fredede fortidsminder, som har dertilhørende fortidsmindebeskyttelseslinjer i medfør af naturbeskyttelseslovens § 18. </w:t>
      </w:r>
      <w:r w:rsidRPr="00FC6512">
        <w:t xml:space="preserve">Kommunalbestyrelsen kan i særlige tilfælde dispensere fra fortidsmindebeskyttelseslinjen, jf. naturbeskyttelseslovens § 65, stk. </w:t>
      </w:r>
      <w:r>
        <w:t>2</w:t>
      </w:r>
      <w:r w:rsidRPr="00FC6512">
        <w:t xml:space="preserve">. </w:t>
      </w:r>
    </w:p>
    <w:p w:rsidR="00474A31" w:rsidRDefault="00474A31" w:rsidP="00474A31">
      <w:pPr>
        <w:pStyle w:val="Listeafsnit"/>
        <w:numPr>
          <w:ilvl w:val="0"/>
          <w:numId w:val="4"/>
        </w:numPr>
      </w:pPr>
      <w:r>
        <w:t xml:space="preserve">Det skal derfor undersøges, hvorvidt der er tale om et særligt tilfælde, hvor der kan meddeles dispensation fra beskyttelseslinjen. </w:t>
      </w:r>
    </w:p>
    <w:p w:rsidR="00474A31" w:rsidRDefault="00474A31" w:rsidP="00474A31">
      <w:pPr>
        <w:pStyle w:val="Listeafsnit"/>
        <w:ind w:left="777"/>
      </w:pPr>
    </w:p>
    <w:p w:rsidR="00474A31" w:rsidRDefault="00474A31" w:rsidP="00474A31">
      <w:pPr>
        <w:pStyle w:val="Listeafsnit"/>
        <w:ind w:left="777"/>
      </w:pPr>
      <w:r>
        <w:t xml:space="preserve">Eftersom </w:t>
      </w:r>
      <w:r w:rsidRPr="00FF5202">
        <w:t xml:space="preserve">store dele af området </w:t>
      </w:r>
      <w:r>
        <w:t>ved Dalbyneder er u</w:t>
      </w:r>
      <w:r w:rsidRPr="00FF5202">
        <w:t xml:space="preserve">dpeget med specifik geologisk </w:t>
      </w:r>
      <w:proofErr w:type="spellStart"/>
      <w:r w:rsidRPr="00FF5202">
        <w:t>bevaringsværdi</w:t>
      </w:r>
      <w:proofErr w:type="spellEnd"/>
      <w:r>
        <w:t>, samt at der i</w:t>
      </w:r>
      <w:r w:rsidRPr="00FF5202">
        <w:t xml:space="preserve"> umiddelbar nærhed til</w:t>
      </w:r>
      <w:r>
        <w:t xml:space="preserve"> </w:t>
      </w:r>
      <w:r w:rsidRPr="00FF5202">
        <w:t xml:space="preserve">arealerne, findes værdifulde kulturmiljøer, økologiske forbindelser </w:t>
      </w:r>
      <w:r>
        <w:t xml:space="preserve">og </w:t>
      </w:r>
      <w:r w:rsidRPr="00FF5202">
        <w:t>bevaringsværdige landskaber</w:t>
      </w:r>
      <w:r>
        <w:t xml:space="preserve">, bør byrådet også undersøge, hvilken betydning solcelleparken får for det særlige område. </w:t>
      </w:r>
    </w:p>
    <w:p w:rsidR="00474A31" w:rsidRDefault="00474A31" w:rsidP="00474A31">
      <w:pPr>
        <w:pStyle w:val="Listeafsnit"/>
        <w:ind w:left="777"/>
      </w:pPr>
    </w:p>
    <w:p w:rsidR="00474A31" w:rsidRDefault="00474A31" w:rsidP="00474A31">
      <w:pPr>
        <w:pStyle w:val="Listeafsnit"/>
        <w:ind w:left="777"/>
      </w:pPr>
      <w:r>
        <w:t>Det bør nøje overvejes, om der overhovedet bør etableres en solcellepark i et område, der indeholder så mange beskyttede, bevaringsværdige og fredede områder.</w:t>
      </w:r>
    </w:p>
    <w:p w:rsidR="00AE070D" w:rsidRDefault="00AE070D" w:rsidP="00474A31">
      <w:pPr>
        <w:rPr>
          <w:rStyle w:val="Overskrift4Tegn"/>
        </w:rPr>
      </w:pPr>
    </w:p>
    <w:p w:rsidR="00474A31" w:rsidRPr="00474A31" w:rsidRDefault="00474A31" w:rsidP="00474A31">
      <w:r w:rsidRPr="00670E2A">
        <w:rPr>
          <w:rStyle w:val="Overskrift4Tegn"/>
        </w:rPr>
        <w:t>Fredede diger</w:t>
      </w:r>
      <w:r w:rsidRPr="00474A31">
        <w:rPr>
          <w:i/>
          <w:iCs/>
        </w:rPr>
        <w:t xml:space="preserve"> </w:t>
      </w:r>
      <w:r w:rsidRPr="00474A31">
        <w:rPr>
          <w:i/>
          <w:iCs/>
        </w:rPr>
        <w:br/>
      </w:r>
      <w:r>
        <w:t xml:space="preserve">Fælles for alle de udpegede arealer er, at der er fredede diger enten på selve arealet, eller i nærheden af det. Ifølge lov om naturbeskyttelse (naturbeskyttelsesloven) § 4, må der ikke foretages ændring i tilstanden af sten- og jorddiger og lignende. </w:t>
      </w:r>
    </w:p>
    <w:p w:rsidR="00474A31" w:rsidRDefault="00474A31" w:rsidP="00474A31">
      <w:pPr>
        <w:pStyle w:val="Listeafsnit"/>
        <w:numPr>
          <w:ilvl w:val="0"/>
          <w:numId w:val="4"/>
        </w:numPr>
      </w:pPr>
      <w:r>
        <w:lastRenderedPageBreak/>
        <w:t xml:space="preserve">Byrådet skal derfor respektere de fredede diger, således reglerne i naturbeskyttelsesloven overholdes.  </w:t>
      </w:r>
      <w:r>
        <w:br/>
      </w:r>
    </w:p>
    <w:p w:rsidR="00474A31" w:rsidRPr="00474A31" w:rsidRDefault="00474A31" w:rsidP="00474A31">
      <w:pPr>
        <w:rPr>
          <w:i/>
          <w:iCs/>
          <w:sz w:val="20"/>
          <w:szCs w:val="20"/>
        </w:rPr>
      </w:pPr>
      <w:r w:rsidRPr="00670E2A">
        <w:rPr>
          <w:rStyle w:val="Overskrift4Tegn"/>
        </w:rPr>
        <w:t xml:space="preserve">Skovbyggelinjer </w:t>
      </w:r>
      <w:r>
        <w:rPr>
          <w:i/>
          <w:iCs/>
        </w:rPr>
        <w:br/>
      </w:r>
      <w:r w:rsidRPr="00474A31">
        <w:t xml:space="preserve">Fælles for alle de udpegede områder er, at solcellerne ønskes opstillet inden for skovbyggelinjerne. </w:t>
      </w:r>
    </w:p>
    <w:p w:rsidR="00474A31" w:rsidRPr="00474A31" w:rsidRDefault="00474A31" w:rsidP="00474A31">
      <w:r w:rsidRPr="00474A31">
        <w:t xml:space="preserve">Af Randers Kommunes hjemmeside, fremgår følgende om ansøgning om landzonetilladelse: </w:t>
      </w:r>
    </w:p>
    <w:p w:rsidR="00474A31" w:rsidRPr="00474A31" w:rsidRDefault="00474A31" w:rsidP="00474A31">
      <w:pPr>
        <w:rPr>
          <w:i/>
          <w:iCs/>
        </w:rPr>
      </w:pPr>
      <w:r w:rsidRPr="00474A31">
        <w:rPr>
          <w:i/>
          <w:iCs/>
        </w:rPr>
        <w:t>”Hovedformålet med landzonebestemmelserne er at forhindre ukontrolleret og spredt bebyggelse og anlæg i det åbne land og bevare værdifulde landskaber og natur.</w:t>
      </w:r>
    </w:p>
    <w:p w:rsidR="00474A31" w:rsidRPr="004153F4" w:rsidRDefault="00474A31" w:rsidP="00474A31">
      <w:pPr>
        <w:rPr>
          <w:i/>
          <w:iCs/>
        </w:rPr>
      </w:pPr>
      <w:r w:rsidRPr="00474A31">
        <w:rPr>
          <w:i/>
          <w:iCs/>
        </w:rPr>
        <w:t>Bebyggelse omfatter ikke kun bygninger og mure, men også andre faste konstruktioner og anlæg eksempelvis antennemaster, gyllebeholdere, vindmøller og transportable installationer, som har en bygningsmæssig udnyttelse.”</w:t>
      </w:r>
    </w:p>
    <w:p w:rsidR="00474A31" w:rsidRDefault="00474A31" w:rsidP="00474A31">
      <w:pPr>
        <w:pStyle w:val="Listeafsnit"/>
        <w:numPr>
          <w:ilvl w:val="0"/>
          <w:numId w:val="4"/>
        </w:numPr>
      </w:pPr>
      <w:r>
        <w:t xml:space="preserve">Byrådet bør først og fremmest respektere skovbyggelinjerne. </w:t>
      </w:r>
    </w:p>
    <w:p w:rsidR="00474A31" w:rsidRDefault="00474A31" w:rsidP="00474A31">
      <w:pPr>
        <w:pStyle w:val="Listeafsnit"/>
        <w:ind w:left="777"/>
      </w:pPr>
    </w:p>
    <w:p w:rsidR="00474A31" w:rsidRDefault="00474A31" w:rsidP="00474A31">
      <w:pPr>
        <w:pStyle w:val="Listeafsnit"/>
        <w:ind w:left="777"/>
      </w:pPr>
      <w:r>
        <w:t>Ved vurderingen af, hvorvidt der kan gives landzonetilladelse, skal disse projekter vurderes på lige fod som alle andre ansøgninger, idet byrådet er underlagt de almindelige forvaltningsretlige grundsætninger., hvoraf det følger, at f</w:t>
      </w:r>
      <w:r w:rsidRPr="005E4629">
        <w:t>orvaltningsmyndigheder</w:t>
      </w:r>
      <w:r>
        <w:t xml:space="preserve"> </w:t>
      </w:r>
      <w:r w:rsidRPr="005E4629">
        <w:t>ikke</w:t>
      </w:r>
      <w:r>
        <w:t xml:space="preserve"> må</w:t>
      </w:r>
      <w:r w:rsidRPr="005E4629">
        <w:t xml:space="preserve"> foretage usaglig forskelsbehandling</w:t>
      </w:r>
      <w:r>
        <w:t xml:space="preserve">, jf. lighedsgrundsætningen.  </w:t>
      </w:r>
    </w:p>
    <w:p w:rsidR="00474A31" w:rsidRDefault="00474A31" w:rsidP="00474A31">
      <w:pPr>
        <w:pStyle w:val="Listeafsnit"/>
        <w:ind w:left="777"/>
      </w:pPr>
    </w:p>
    <w:p w:rsidR="00474A31" w:rsidRDefault="00474A31" w:rsidP="009B2655">
      <w:pPr>
        <w:pStyle w:val="Listeafsnit"/>
        <w:ind w:left="777"/>
      </w:pPr>
      <w:r>
        <w:t>Ved vurderingen bør der også i høj grad tages højde for områdernes særlige karakter for så vidt angår naturen og dyrelivet.</w:t>
      </w:r>
    </w:p>
    <w:p w:rsidR="009B2655" w:rsidRPr="009B2655" w:rsidRDefault="009B2655" w:rsidP="009B2655">
      <w:pPr>
        <w:pStyle w:val="Listeafsnit"/>
        <w:ind w:left="777"/>
      </w:pPr>
    </w:p>
    <w:p w:rsidR="00474A31" w:rsidRDefault="00474A31" w:rsidP="00474A31">
      <w:pPr>
        <w:pStyle w:val="Overskrift4"/>
      </w:pPr>
      <w:r>
        <w:t>Særligt værdifulde landbrugsområder.</w:t>
      </w:r>
    </w:p>
    <w:p w:rsidR="00474A31" w:rsidRDefault="00474A31" w:rsidP="00474A31">
      <w:r>
        <w:t>Samtlige af de udpegede arealer er klassificeret som særligt værdifulde landbrugsområder</w:t>
      </w:r>
      <w:r w:rsidR="00DC1B3E">
        <w:t>, hvilket fremgår af kommuneplanen for 2021.</w:t>
      </w:r>
    </w:p>
    <w:p w:rsidR="00474A31" w:rsidRDefault="00474A31" w:rsidP="00474A31">
      <w:r>
        <w:t xml:space="preserve">Følgende fremgår af Randers Kommunes kommuneplan for 2021: </w:t>
      </w:r>
    </w:p>
    <w:p w:rsidR="00474A31" w:rsidRPr="008321CA" w:rsidRDefault="00474A31" w:rsidP="00474A31">
      <w:pPr>
        <w:rPr>
          <w:i/>
          <w:iCs/>
        </w:rPr>
      </w:pPr>
      <w:r w:rsidRPr="008321CA">
        <w:rPr>
          <w:i/>
          <w:iCs/>
        </w:rPr>
        <w:t xml:space="preserve">”I de særligt værdifulde landbrugsområder skal den bedste landbrugsjord bevares. For at sikre landbrugsejendommenes jordtilliggender, skal der lægges vægt på at bevare større samlede jordbrugsområder. </w:t>
      </w:r>
      <w:r w:rsidRPr="008321CA">
        <w:rPr>
          <w:b/>
          <w:bCs/>
          <w:i/>
          <w:iCs/>
        </w:rPr>
        <w:t>Her vil byrådet være restriktive med at tillade anden anvendelse</w:t>
      </w:r>
      <w:r w:rsidRPr="008321CA">
        <w:rPr>
          <w:i/>
          <w:iCs/>
        </w:rPr>
        <w:t>. Arealer i særligt værdifulde landbrugsområder kan kun inddrages til ikke-jordbrugsmæssige formål, hvis arealerne har begrænset betydning for jordbruget eller, hvis en samlet vurdering viser, at den givne anvendelse mest hensigtsmæssigt kan placeres her. Det vil dog eksempelvis stadig være muligt at etablere skov i de områder, der også er udpeget som skovrejsning ønsket.”</w:t>
      </w:r>
    </w:p>
    <w:p w:rsidR="00474A31" w:rsidRDefault="00474A31" w:rsidP="00474A31">
      <w:r>
        <w:t xml:space="preserve">Kommunen skal derfor være restriktive med at tillade, at særligt værdifulde landbrugsområder anvendes til andre formål. Dette er tidligere set i kommunens praksis. Her kan det eksempelvis nævnes, at der i marts 2021 blev meddelt afslag på landzonetilladelse til udstykning af en ny ejendom og opførelse af bolig på </w:t>
      </w:r>
      <w:proofErr w:type="gramStart"/>
      <w:r>
        <w:t>matr. nr.</w:t>
      </w:r>
      <w:proofErr w:type="gramEnd"/>
      <w:r>
        <w:t xml:space="preserve"> 28a i Sødring. Ejendommen ligger ikke i det pågældende områder, hvor solcellerne ønskes placeret, men jorden er klassificeret som særligt værdifuld landbrugsjord, ligesom det udpegede område til solcellerne. Begrundelsen for afslaget var netop det faktum, at jorden er udpeget som særligt værdifuldt landbrugsområde. </w:t>
      </w:r>
    </w:p>
    <w:p w:rsidR="00474A31" w:rsidRDefault="00474A31" w:rsidP="00474A31">
      <w:r>
        <w:t xml:space="preserve">Følgende fremgår af Kommunens begrundelse: </w:t>
      </w:r>
    </w:p>
    <w:p w:rsidR="00474A31" w:rsidRDefault="00474A31" w:rsidP="00474A31">
      <w:pPr>
        <w:rPr>
          <w:i/>
          <w:iCs/>
        </w:rPr>
      </w:pPr>
      <w:r>
        <w:rPr>
          <w:i/>
          <w:iCs/>
        </w:rPr>
        <w:lastRenderedPageBreak/>
        <w:t xml:space="preserve">”Dette begrundes bl.a. i ovenstående samt at arealet i gældende kommuneplan er udpeget som </w:t>
      </w:r>
      <w:proofErr w:type="gramStart"/>
      <w:r>
        <w:rPr>
          <w:i/>
          <w:iCs/>
        </w:rPr>
        <w:t>et området</w:t>
      </w:r>
      <w:proofErr w:type="gramEnd"/>
      <w:r>
        <w:rPr>
          <w:i/>
          <w:iCs/>
        </w:rPr>
        <w:t xml:space="preserve"> der skal friholdes for bebyggelse, som et særligt værdifuldt landbrugsområde (der for så vidt muligt skal forblive i jordbrugsdrift), som et område med særlig landskabelig interesse i niveau 1, dvs. landskaber med størst interesse.” </w:t>
      </w:r>
    </w:p>
    <w:p w:rsidR="00474A31" w:rsidRPr="000F5569" w:rsidRDefault="00474A31" w:rsidP="00474A31">
      <w:pPr>
        <w:pStyle w:val="Listeafsnit"/>
        <w:numPr>
          <w:ilvl w:val="0"/>
          <w:numId w:val="4"/>
        </w:numPr>
        <w:rPr>
          <w:i/>
          <w:iCs/>
        </w:rPr>
      </w:pPr>
      <w:r>
        <w:t xml:space="preserve">Byrådet skal derfor tage begrundet stilling til, hvorvidt anden anvendelse af arealerne kan tillades, når det er udpeget som særligt værdifulde landbrugsområder. </w:t>
      </w:r>
    </w:p>
    <w:p w:rsidR="00474A31" w:rsidRDefault="00474A31" w:rsidP="00474A31">
      <w:pPr>
        <w:pStyle w:val="Listeafsnit"/>
        <w:ind w:left="777"/>
      </w:pPr>
    </w:p>
    <w:p w:rsidR="00474A31" w:rsidRDefault="00474A31" w:rsidP="005C5023">
      <w:pPr>
        <w:pStyle w:val="Listeafsnit"/>
        <w:ind w:left="777"/>
      </w:pPr>
      <w:r w:rsidRPr="008658EF">
        <w:t>Byrådet bør i den forbindelse undersøge og kortlægge jordtypen i områderne for at sikre, at den bedste landbrugsjord ikke anvendes til andre formål end jordbrugsdrift.</w:t>
      </w:r>
      <w:r>
        <w:t xml:space="preserve"> Dette særligt henset til, at der i øjeblikket tales om, at vi befinder os i en global fødevarekrise. </w:t>
      </w:r>
    </w:p>
    <w:p w:rsidR="00370CB4" w:rsidRDefault="00370CB4" w:rsidP="005C5023">
      <w:pPr>
        <w:pStyle w:val="Listeafsnit"/>
        <w:ind w:left="777"/>
      </w:pPr>
    </w:p>
    <w:p w:rsidR="00370CB4" w:rsidRPr="001C56AB" w:rsidRDefault="00370CB4" w:rsidP="00370CB4">
      <w:pPr>
        <w:pStyle w:val="Overskrift4"/>
      </w:pPr>
      <w:r>
        <w:t xml:space="preserve">Naturpark Randers Fjord: </w:t>
      </w:r>
    </w:p>
    <w:p w:rsidR="00370CB4" w:rsidRPr="001C56AB" w:rsidRDefault="00370CB4" w:rsidP="00370CB4">
      <w:r>
        <w:t xml:space="preserve">Det bemærkes, at de ansøgte energianlæg ønskes etableret i Naturpark Randers Fjord, i det særlige område: Vadehavet mod Kattegat. </w:t>
      </w:r>
    </w:p>
    <w:p w:rsidR="00370CB4" w:rsidRPr="00214D4E" w:rsidRDefault="00370CB4" w:rsidP="00370CB4">
      <w:r>
        <w:t xml:space="preserve">Dér hvor Randers fjord møder Kattegat, er Danmarks 2. Største Vadehav og et af landets største og eneste østvendte fjorddeltaer. </w:t>
      </w:r>
    </w:p>
    <w:p w:rsidR="00370CB4" w:rsidRDefault="00370CB4" w:rsidP="00370CB4">
      <w:r>
        <w:t xml:space="preserve">Syd for de store landindvindinger ved Mariager Fjord, findes arealer med strandenge og ekstensiv græsning. Her er tidligere opdyrket jord lagt ud til græsning og danner i dag sammen med arealerne øst for Sødringholm Skov det største sammenhængende areal af strandenge i Østjylland. Især de oprindelige strandenge er artsrige. Her vokser blandt lang række sjældne og beskyttede plantearter. </w:t>
      </w:r>
    </w:p>
    <w:p w:rsidR="00370CB4" w:rsidRDefault="00370CB4" w:rsidP="00370CB4">
      <w:pPr>
        <w:rPr>
          <w:rStyle w:val="Hyperlink0"/>
        </w:rPr>
      </w:pPr>
      <w:r>
        <w:t>Den lavtliggende strandeng ved Sødringholm danner sammen med det lavvandede havområde ned mod Randers Fjord et attraktivt område for fugle, herunder flere truede og beskyttede arter, som både yngler, raster og søger føde i om</w:t>
      </w:r>
      <w:r w:rsidR="00737F1A">
        <w:t>rå</w:t>
      </w:r>
      <w:r>
        <w:t xml:space="preserve">det. Foruden fugle, kommer den spættede sæl også på besøg. </w:t>
      </w:r>
      <w:r w:rsidRPr="001C56AB">
        <w:t xml:space="preserve">I </w:t>
      </w:r>
      <w:r>
        <w:t xml:space="preserve">den tilstødende </w:t>
      </w:r>
      <w:r w:rsidRPr="001C56AB">
        <w:t>S</w:t>
      </w:r>
      <w:r>
        <w:t>ødringholm Skov er der også meget forskelligt vildt.</w:t>
      </w:r>
      <w:r w:rsidRPr="00370CB4">
        <w:rPr>
          <w:rStyle w:val="Hyperlink0"/>
        </w:rPr>
        <w:t xml:space="preserve"> </w:t>
      </w:r>
    </w:p>
    <w:p w:rsidR="00370CB4" w:rsidRDefault="00000000" w:rsidP="00370CB4">
      <w:hyperlink r:id="rId7" w:history="1">
        <w:r w:rsidR="00370CB4" w:rsidRPr="00D2389C">
          <w:rPr>
            <w:rStyle w:val="Hyperlink"/>
          </w:rPr>
          <w:t>https://www.naturparkrandersfjord.dk/naturen/</w:t>
        </w:r>
      </w:hyperlink>
      <w:r w:rsidR="00370CB4">
        <w:t xml:space="preserve"> </w:t>
      </w:r>
    </w:p>
    <w:p w:rsidR="00370CB4" w:rsidRDefault="00000000" w:rsidP="00370CB4">
      <w:hyperlink r:id="rId8" w:history="1">
        <w:r w:rsidR="00370CB4" w:rsidRPr="00D2389C">
          <w:rPr>
            <w:rStyle w:val="Hyperlink"/>
          </w:rPr>
          <w:t>https://www.naturparkrandersfjord.dk/naturen/vadehavet-mod-kattegaat/</w:t>
        </w:r>
      </w:hyperlink>
    </w:p>
    <w:p w:rsidR="00370CB4" w:rsidRDefault="00370CB4" w:rsidP="00370CB4">
      <w:pPr>
        <w:pStyle w:val="Listeafsnit"/>
        <w:numPr>
          <w:ilvl w:val="0"/>
          <w:numId w:val="4"/>
        </w:numPr>
      </w:pPr>
      <w:r>
        <w:t>Byrådet opfordres til at lære mere om området, eksempelvis vi</w:t>
      </w:r>
      <w:r w:rsidR="0078202D">
        <w:t xml:space="preserve">a </w:t>
      </w:r>
      <w:r>
        <w:t xml:space="preserve">ovenstående links. </w:t>
      </w:r>
    </w:p>
    <w:p w:rsidR="00370CB4" w:rsidRDefault="00370CB4" w:rsidP="00370CB4">
      <w:pPr>
        <w:pStyle w:val="Listeafsnit"/>
      </w:pPr>
    </w:p>
    <w:p w:rsidR="00776A2E" w:rsidRDefault="00370CB4" w:rsidP="0072122C">
      <w:pPr>
        <w:pStyle w:val="Listeafsnit"/>
        <w:rPr>
          <w:color w:val="444444"/>
        </w:rPr>
      </w:pPr>
      <w:r>
        <w:t xml:space="preserve">Byrådet opfordres ligeledes at være opmærksomt på, at </w:t>
      </w:r>
      <w:r>
        <w:rPr>
          <w:color w:val="444444"/>
        </w:rPr>
        <w:t>de</w:t>
      </w:r>
      <w:r w:rsidRPr="00370CB4">
        <w:rPr>
          <w:color w:val="444444"/>
        </w:rPr>
        <w:t xml:space="preserve"> store energianlæg vil ødelægge en stor naturattraktion i Naturpark Randersfjord</w:t>
      </w:r>
      <w:r>
        <w:rPr>
          <w:color w:val="444444"/>
        </w:rPr>
        <w:t xml:space="preserve">, som er med til at promovere Randers Kommune. </w:t>
      </w:r>
    </w:p>
    <w:p w:rsidR="0072122C" w:rsidRPr="0072122C" w:rsidRDefault="0072122C" w:rsidP="0072122C">
      <w:pPr>
        <w:pStyle w:val="Listeafsnit"/>
        <w:rPr>
          <w:color w:val="444444"/>
        </w:rPr>
      </w:pPr>
    </w:p>
    <w:p w:rsidR="00474A31" w:rsidRDefault="00474A31" w:rsidP="007331B2">
      <w:pPr>
        <w:pStyle w:val="Overskrift4"/>
      </w:pPr>
      <w:r>
        <w:t xml:space="preserve">Truede og beskyttede arter </w:t>
      </w:r>
    </w:p>
    <w:p w:rsidR="00474A31" w:rsidRDefault="00474A31" w:rsidP="00474A31">
      <w:r>
        <w:t xml:space="preserve">I eller i umiddelbar nærhed af områderne lever og yngler en lang række truede og beskyttede arter. </w:t>
      </w:r>
    </w:p>
    <w:p w:rsidR="00474A31" w:rsidRPr="00474A31" w:rsidRDefault="00474A31" w:rsidP="00474A31">
      <w:r>
        <w:t xml:space="preserve">Flere af disse arter er beskyttede i henhold til </w:t>
      </w:r>
      <w:r w:rsidRPr="005A5BAB">
        <w:t>Fuglebeskyttelsesdirektivet (Rådets direktiv nr. 79/409 af 2. april 1979, om beskyttelse af vilde fugle med senere ændringer)</w:t>
      </w:r>
      <w:r>
        <w:t xml:space="preserve"> og </w:t>
      </w:r>
      <w:r w:rsidRPr="00532C78">
        <w:t>Habitatdirektive</w:t>
      </w:r>
      <w:r>
        <w:t>t (</w:t>
      </w:r>
      <w:r w:rsidRPr="00532C78">
        <w:t>Rådets direktiv 92/43/EØF af 21. maj 1992 om bevaring af naturtyper samt vilde dyr og planter</w:t>
      </w:r>
      <w:r>
        <w:t>).</w:t>
      </w:r>
    </w:p>
    <w:p w:rsidR="00D107E0" w:rsidRDefault="00474A31" w:rsidP="00474A31">
      <w:r>
        <w:t xml:space="preserve">Derudover, findes der arter i området, som er internationalt beskyttet og som ifølge ”IUCN Red List </w:t>
      </w:r>
      <w:proofErr w:type="spellStart"/>
      <w:r>
        <w:t>Categories</w:t>
      </w:r>
      <w:proofErr w:type="spellEnd"/>
      <w:r>
        <w:t xml:space="preserve"> and </w:t>
      </w:r>
      <w:proofErr w:type="spellStart"/>
      <w:r>
        <w:t>Criteria</w:t>
      </w:r>
      <w:proofErr w:type="spellEnd"/>
      <w:r>
        <w:t xml:space="preserve">” er karakteriseret som kritisk truet. Herhjemme er arterne derfor totalfredede. </w:t>
      </w:r>
    </w:p>
    <w:p w:rsidR="00474A31" w:rsidRDefault="00474A31" w:rsidP="00474A31">
      <w:r>
        <w:lastRenderedPageBreak/>
        <w:t xml:space="preserve">Flere af de truede og beskyttede arter lever og yngler enten i eller i nærheden af områderne, hvor solcellerne og vindmøllerne ønskes opstillet. Selvom arterne måske ikke yngler direkte i projektområdet, bruger mange af dem markerne i nærheden af de beskyttede områder som rasteplads og til at søge føde på. Særligt dyrenes mulighed for at søge føde i nærheden af leve- og ynglestederne er essentielt for at de opretholdes. Dette vil de blive afskåret fra ved opstilling af solcellerne. Der er derfor stor risiko for, at flere af arterne vil forsvinde fra området. </w:t>
      </w:r>
    </w:p>
    <w:p w:rsidR="00474A31" w:rsidRDefault="00474A31" w:rsidP="00474A31">
      <w:pPr>
        <w:pStyle w:val="Listeafsnit"/>
        <w:numPr>
          <w:ilvl w:val="0"/>
          <w:numId w:val="4"/>
        </w:numPr>
      </w:pPr>
      <w:r>
        <w:t xml:space="preserve">Byrådet skal derfor sikre, at energianlæggene ikke vil skade alle disse arters yngle-, føde- eller rasteområder, således anlæggene ikke opføres i strid med </w:t>
      </w:r>
      <w:proofErr w:type="gramStart"/>
      <w:r>
        <w:t>EU direktiverne</w:t>
      </w:r>
      <w:proofErr w:type="gramEnd"/>
      <w:r>
        <w:t xml:space="preserve">. </w:t>
      </w:r>
    </w:p>
    <w:p w:rsidR="00474A31" w:rsidRDefault="00474A31" w:rsidP="00474A31">
      <w:pPr>
        <w:pStyle w:val="Listeafsnit"/>
        <w:ind w:left="777"/>
      </w:pPr>
    </w:p>
    <w:p w:rsidR="00474A31" w:rsidRDefault="00474A31" w:rsidP="00474A31">
      <w:pPr>
        <w:pStyle w:val="Listeafsnit"/>
        <w:ind w:left="777"/>
      </w:pPr>
      <w:r>
        <w:t xml:space="preserve">Byrådet bedes derfor </w:t>
      </w:r>
      <w:r w:rsidR="00AE070D">
        <w:t>få udarbejdet en</w:t>
      </w:r>
      <w:r>
        <w:t xml:space="preserve"> udførlig VVM-redegørelse af dette</w:t>
      </w:r>
      <w:r w:rsidR="00482587">
        <w:t>, samt en konsekvensvurdering</w:t>
      </w:r>
      <w:r>
        <w:t xml:space="preserve">. VVM-redegørelsen </w:t>
      </w:r>
      <w:r w:rsidR="00482587">
        <w:t xml:space="preserve">og konsekvensvurderingen </w:t>
      </w:r>
      <w:r>
        <w:t xml:space="preserve">bør kvalitetssikres af en upartisk tredjemand, med </w:t>
      </w:r>
      <w:r w:rsidR="001F6700">
        <w:t xml:space="preserve">særligt </w:t>
      </w:r>
      <w:r>
        <w:t xml:space="preserve">kendskab til de pågældende dyrearter og deres levesteder. </w:t>
      </w:r>
    </w:p>
    <w:p w:rsidR="00474A31" w:rsidRDefault="00474A31" w:rsidP="00474A31">
      <w:pPr>
        <w:pStyle w:val="Listeafsnit"/>
        <w:ind w:left="777"/>
      </w:pPr>
    </w:p>
    <w:p w:rsidR="00474A31" w:rsidRDefault="00474A31" w:rsidP="00474A31">
      <w:pPr>
        <w:pStyle w:val="Listeafsnit"/>
        <w:ind w:left="777"/>
      </w:pPr>
      <w:r>
        <w:t xml:space="preserve">Byrådets opmærksomhed henledes på, at opførelsen af andre energiparker er bremset grundet tilstedeværelsen af arter omfattet af fuglebeskyttelsesdirektivets bilag I og habitatdirektivets bilag IV, heriblandt også nogle af </w:t>
      </w:r>
      <w:r w:rsidR="00AE070D">
        <w:t>de arter, som lever, yngler og søger føde i området</w:t>
      </w:r>
      <w:r>
        <w:t xml:space="preserve">. Nogle projekter er endda bremset ved tilstedeværelsen af kun én af arterne. </w:t>
      </w:r>
    </w:p>
    <w:p w:rsidR="00474A31" w:rsidRDefault="00474A31" w:rsidP="00474A31">
      <w:pPr>
        <w:pStyle w:val="Listeafsnit"/>
        <w:ind w:left="777"/>
      </w:pPr>
    </w:p>
    <w:p w:rsidR="00474A31" w:rsidRDefault="00474A31" w:rsidP="00474A31">
      <w:pPr>
        <w:pStyle w:val="Listeafsnit"/>
        <w:ind w:left="777"/>
      </w:pPr>
      <w:r>
        <w:t xml:space="preserve">Blandt disse projekter kan nævnes: </w:t>
      </w:r>
    </w:p>
    <w:p w:rsidR="00474A31" w:rsidRDefault="00474A31" w:rsidP="00474A31">
      <w:pPr>
        <w:pStyle w:val="Listeafsnit"/>
        <w:numPr>
          <w:ilvl w:val="0"/>
          <w:numId w:val="5"/>
        </w:numPr>
      </w:pPr>
      <w:r>
        <w:t xml:space="preserve">Vindmølleparken ved Thorup-sletten (blå kærhøg og </w:t>
      </w:r>
      <w:proofErr w:type="spellStart"/>
      <w:r>
        <w:t>rørhøg</w:t>
      </w:r>
      <w:proofErr w:type="spellEnd"/>
      <w:r>
        <w:t>)</w:t>
      </w:r>
    </w:p>
    <w:p w:rsidR="00474A31" w:rsidRDefault="00474A31" w:rsidP="00474A31">
      <w:pPr>
        <w:pStyle w:val="Listeafsnit"/>
        <w:numPr>
          <w:ilvl w:val="0"/>
          <w:numId w:val="5"/>
        </w:numPr>
      </w:pPr>
      <w:r>
        <w:t xml:space="preserve">Vindmølleparken ved Nørrekær Enge (damflagermus) </w:t>
      </w:r>
    </w:p>
    <w:p w:rsidR="00474A31" w:rsidRDefault="00474A31" w:rsidP="00474A31">
      <w:pPr>
        <w:pStyle w:val="Listeafsnit"/>
        <w:numPr>
          <w:ilvl w:val="0"/>
          <w:numId w:val="5"/>
        </w:numPr>
      </w:pPr>
      <w:r>
        <w:t>Vindmøllepark ved Broholm Gods (rød glente)</w:t>
      </w:r>
    </w:p>
    <w:p w:rsidR="00474A31" w:rsidRDefault="00474A31" w:rsidP="00474A31">
      <w:pPr>
        <w:pStyle w:val="Listeafsnit"/>
        <w:numPr>
          <w:ilvl w:val="0"/>
          <w:numId w:val="5"/>
        </w:numPr>
      </w:pPr>
      <w:r>
        <w:t xml:space="preserve">Vindmølleparken ved </w:t>
      </w:r>
      <w:proofErr w:type="spellStart"/>
      <w:r>
        <w:t>Ømø</w:t>
      </w:r>
      <w:proofErr w:type="spellEnd"/>
      <w:r>
        <w:t xml:space="preserve"> (</w:t>
      </w:r>
      <w:proofErr w:type="spellStart"/>
      <w:r>
        <w:t>gråstrupet</w:t>
      </w:r>
      <w:proofErr w:type="spellEnd"/>
      <w:r>
        <w:t xml:space="preserve"> lappedykker, sortand, </w:t>
      </w:r>
      <w:proofErr w:type="spellStart"/>
      <w:r>
        <w:t>ederfugl</w:t>
      </w:r>
      <w:proofErr w:type="spellEnd"/>
      <w:r>
        <w:t>)</w:t>
      </w:r>
    </w:p>
    <w:p w:rsidR="00474A31" w:rsidRDefault="00474A31" w:rsidP="00474A31">
      <w:pPr>
        <w:ind w:left="777"/>
      </w:pPr>
      <w:r>
        <w:t xml:space="preserve">Byrådet skal derfor tage stilling til, om det synes forsvarligt at nedprioritere bevarelsen af så mange truede og beskyttede arter, når der tages hensyn til dem i andre dele af landet. </w:t>
      </w:r>
    </w:p>
    <w:p w:rsidR="00A255A1" w:rsidRDefault="00474A31" w:rsidP="00D91F45">
      <w:pPr>
        <w:ind w:left="777"/>
      </w:pPr>
      <w:r>
        <w:t xml:space="preserve">Det rejser samtidig spørgsmålet om, hvorvidt lovligheden af de allerede opsatte møller ved Overgaard Gods bør efterprøves. </w:t>
      </w:r>
    </w:p>
    <w:p w:rsidR="00D91F45" w:rsidRDefault="00D91F45" w:rsidP="00D91F45">
      <w:pPr>
        <w:ind w:left="777"/>
      </w:pPr>
    </w:p>
    <w:p w:rsidR="00FF296E" w:rsidRPr="001C56AB" w:rsidRDefault="00FF296E" w:rsidP="00FF296E">
      <w:pPr>
        <w:pStyle w:val="Overskrift2"/>
      </w:pPr>
      <w:r w:rsidRPr="001C56AB">
        <w:t>Gr</w:t>
      </w:r>
      <w:r>
        <w:t xml:space="preserve">øn Pulje: </w:t>
      </w:r>
    </w:p>
    <w:p w:rsidR="00FF296E" w:rsidRPr="001C56AB" w:rsidRDefault="00FF296E" w:rsidP="00FF296E">
      <w:r>
        <w:t xml:space="preserve">Det bemærkes, at byrådet den 12 september 2022, valgte at udsætte sag 312 ”Grøn Pulje i Randers Kommune”, med henblik på en revurdering af sagen. </w:t>
      </w:r>
    </w:p>
    <w:p w:rsidR="00FF296E" w:rsidRPr="001C56AB" w:rsidRDefault="00FF296E" w:rsidP="00FF296E">
      <w:r>
        <w:t xml:space="preserve">Der kvitteres for, at byrådet ikke vedtog forvaltningens fremlagte administrationsgrundlag for udmøntningen af Grøn Pulje i Randers Kommune. Det findes uhensigtsmæssigt, at Grøn Pulje forankres i Bæredygtighedsudvalgt, som er et § 17 stk. 4 udvalg, og derfor ikke et stående udvalg eller et vedvarende udvalg. Grøn Puljes fremtid vil derfor være usikker, hvis den forankres i et §17 stk. 4 udvalg. </w:t>
      </w:r>
    </w:p>
    <w:p w:rsidR="00FF296E" w:rsidRPr="00FF296E" w:rsidRDefault="00FF296E" w:rsidP="00FF296E">
      <w:pPr>
        <w:rPr>
          <w:i/>
          <w:iCs/>
        </w:rPr>
      </w:pPr>
      <w:r>
        <w:rPr>
          <w:i/>
          <w:iCs/>
        </w:rPr>
        <w:t>“Folketinget har vedtaget, at alle kommuner skal oprette en Grøn Pulje, som opstillere af vedvarende energianlæ</w:t>
      </w:r>
      <w:r w:rsidRPr="001C56AB">
        <w:rPr>
          <w:i/>
          <w:iCs/>
        </w:rPr>
        <w:t>g skal indbetale til. Disse midler kan anvendes til projekter til gavn for naboer til vedvarende energianl</w:t>
      </w:r>
      <w:r>
        <w:rPr>
          <w:i/>
          <w:iCs/>
        </w:rPr>
        <w:t>æ</w:t>
      </w:r>
      <w:r w:rsidRPr="001C56AB">
        <w:rPr>
          <w:i/>
          <w:iCs/>
        </w:rPr>
        <w:t>g og til gavn for lokalsamfundet generelt</w:t>
      </w:r>
      <w:r>
        <w:rPr>
          <w:i/>
          <w:iCs/>
        </w:rPr>
        <w:t>”</w:t>
      </w:r>
    </w:p>
    <w:p w:rsidR="00FF296E" w:rsidRPr="001C56AB" w:rsidRDefault="00FF296E" w:rsidP="00FF296E">
      <w:r>
        <w:t xml:space="preserve">Det findes derfor hensigtsmæssigt, hvis Grøn Pulje i Randers Kommune forankres politisk i landdistriktsudvalget, som er et stående udvalg. </w:t>
      </w:r>
    </w:p>
    <w:p w:rsidR="00FF296E" w:rsidRPr="001C56AB" w:rsidRDefault="00FF296E" w:rsidP="00FF296E">
      <w:r>
        <w:lastRenderedPageBreak/>
        <w:t xml:space="preserve">Landdistriktsudvalget, har allerede erfaring med, uddeling af midler til projekter i landdistrikterne, samt erfaringen med udviklingsplaner i landdistrikterne, hvor store om små projekter indgår. </w:t>
      </w:r>
    </w:p>
    <w:p w:rsidR="00FF296E" w:rsidRPr="00FF296E" w:rsidRDefault="00FF296E" w:rsidP="00FF296E">
      <w:pPr>
        <w:rPr>
          <w:i/>
          <w:iCs/>
        </w:rPr>
      </w:pPr>
      <w:r>
        <w:rPr>
          <w:i/>
          <w:iCs/>
        </w:rPr>
        <w:t>“</w:t>
      </w:r>
      <w:proofErr w:type="spellStart"/>
      <w:r w:rsidRPr="001C56AB">
        <w:rPr>
          <w:i/>
          <w:iCs/>
        </w:rPr>
        <w:t>Formå</w:t>
      </w:r>
      <w:r>
        <w:rPr>
          <w:i/>
          <w:iCs/>
        </w:rPr>
        <w:t>let</w:t>
      </w:r>
      <w:proofErr w:type="spellEnd"/>
      <w:r>
        <w:rPr>
          <w:i/>
          <w:iCs/>
        </w:rPr>
        <w:t xml:space="preserve"> med Grø</w:t>
      </w:r>
      <w:r w:rsidRPr="001C56AB">
        <w:rPr>
          <w:i/>
          <w:iCs/>
        </w:rPr>
        <w:t>n Pulje er at styrke den lokale opbakning til vedvarende energianl</w:t>
      </w:r>
      <w:r>
        <w:rPr>
          <w:i/>
          <w:iCs/>
        </w:rPr>
        <w:t>æg, ved at give naboer og foreninger næ</w:t>
      </w:r>
      <w:r w:rsidRPr="001C56AB">
        <w:rPr>
          <w:i/>
          <w:iCs/>
        </w:rPr>
        <w:t>r nyetablerede VE-anl</w:t>
      </w:r>
      <w:r>
        <w:rPr>
          <w:i/>
          <w:iCs/>
        </w:rPr>
        <w:t>æg mulighed for at sø</w:t>
      </w:r>
      <w:r w:rsidRPr="001C56AB">
        <w:rPr>
          <w:i/>
          <w:iCs/>
        </w:rPr>
        <w:t xml:space="preserve">ge midler fra puljen. Midlerne kan dog </w:t>
      </w:r>
      <w:proofErr w:type="spellStart"/>
      <w:r w:rsidRPr="001C56AB">
        <w:rPr>
          <w:i/>
          <w:iCs/>
        </w:rPr>
        <w:t>ogsa</w:t>
      </w:r>
      <w:proofErr w:type="spellEnd"/>
      <w:r w:rsidRPr="001C56AB">
        <w:rPr>
          <w:i/>
          <w:iCs/>
        </w:rPr>
        <w:t xml:space="preserve">̊ </w:t>
      </w:r>
      <w:r>
        <w:rPr>
          <w:i/>
          <w:iCs/>
        </w:rPr>
        <w:t>anvendes til at stø</w:t>
      </w:r>
      <w:r w:rsidRPr="001C56AB">
        <w:rPr>
          <w:i/>
          <w:iCs/>
        </w:rPr>
        <w:t xml:space="preserve">tte </w:t>
      </w:r>
      <w:r>
        <w:rPr>
          <w:i/>
          <w:iCs/>
        </w:rPr>
        <w:t>ø</w:t>
      </w:r>
      <w:r>
        <w:rPr>
          <w:i/>
          <w:iCs/>
          <w:lang w:val="nl-NL"/>
        </w:rPr>
        <w:t>vrige gr</w:t>
      </w:r>
      <w:proofErr w:type="spellStart"/>
      <w:r>
        <w:rPr>
          <w:i/>
          <w:iCs/>
        </w:rPr>
        <w:t>ø</w:t>
      </w:r>
      <w:r w:rsidRPr="001C56AB">
        <w:rPr>
          <w:i/>
          <w:iCs/>
        </w:rPr>
        <w:t>nne</w:t>
      </w:r>
      <w:proofErr w:type="spellEnd"/>
      <w:r w:rsidRPr="001C56AB">
        <w:rPr>
          <w:i/>
          <w:iCs/>
        </w:rPr>
        <w:t>, rekreative eller kulturelle tiltag i kommunen.</w:t>
      </w:r>
      <w:r>
        <w:rPr>
          <w:i/>
          <w:iCs/>
        </w:rPr>
        <w:t>”</w:t>
      </w:r>
    </w:p>
    <w:p w:rsidR="00FF296E" w:rsidRDefault="00FF296E" w:rsidP="00FF296E">
      <w:r>
        <w:t xml:space="preserve">De vedvarende energianlæg gør ikke landdistrikterne og lokalsamfundene attraktive. Såfremt byrådet ønsker udvikling i hele Randers kommune på trods af store energianlæg anbefales det, at Grøn Pulje forankres i Landdistriktsudvalget, hvis kompetenceområde </w:t>
      </w:r>
      <w:r w:rsidR="002E5CD8">
        <w:t>ifølge Randers Kommunes hjemmeside er:</w:t>
      </w:r>
    </w:p>
    <w:p w:rsidR="00FF296E" w:rsidRPr="00FF296E" w:rsidRDefault="00FF296E" w:rsidP="00FF296E">
      <w:pPr>
        <w:pStyle w:val="Listeafsnit"/>
        <w:numPr>
          <w:ilvl w:val="0"/>
          <w:numId w:val="5"/>
        </w:numPr>
      </w:pPr>
      <w:r w:rsidRPr="00FF296E">
        <w:rPr>
          <w:color w:val="303030"/>
        </w:rPr>
        <w:t>Landdistriktsudvikling</w:t>
      </w:r>
    </w:p>
    <w:p w:rsidR="00FF296E" w:rsidRPr="00FF296E" w:rsidRDefault="00FF296E" w:rsidP="00FF296E">
      <w:pPr>
        <w:pStyle w:val="Listeafsnit"/>
        <w:numPr>
          <w:ilvl w:val="0"/>
          <w:numId w:val="5"/>
        </w:numPr>
      </w:pPr>
      <w:r w:rsidRPr="00FF296E">
        <w:rPr>
          <w:color w:val="303030"/>
        </w:rPr>
        <w:t>Bosætningsforhold i landdistrikterne</w:t>
      </w:r>
    </w:p>
    <w:p w:rsidR="00FF296E" w:rsidRPr="00FF296E" w:rsidRDefault="00FF296E" w:rsidP="00FF296E">
      <w:pPr>
        <w:pStyle w:val="Listeafsnit"/>
        <w:numPr>
          <w:ilvl w:val="0"/>
          <w:numId w:val="5"/>
        </w:numPr>
      </w:pPr>
      <w:r w:rsidRPr="00FF296E">
        <w:rPr>
          <w:color w:val="303030"/>
        </w:rPr>
        <w:t>By- og områdefornyelse samt pulje til indsats mod dårlige boliger</w:t>
      </w:r>
    </w:p>
    <w:p w:rsidR="00FF296E" w:rsidRPr="00FF296E" w:rsidRDefault="00FF296E" w:rsidP="00FF296E">
      <w:pPr>
        <w:pStyle w:val="Listeafsnit"/>
        <w:numPr>
          <w:ilvl w:val="0"/>
          <w:numId w:val="5"/>
        </w:numPr>
      </w:pPr>
      <w:r w:rsidRPr="00FF296E">
        <w:rPr>
          <w:color w:val="303030"/>
        </w:rPr>
        <w:t>Tilskud til LAG-projekter</w:t>
      </w:r>
    </w:p>
    <w:p w:rsidR="00FF296E" w:rsidRPr="00FF296E" w:rsidRDefault="00FF296E" w:rsidP="00FF296E">
      <w:pPr>
        <w:pStyle w:val="Listeafsnit"/>
        <w:numPr>
          <w:ilvl w:val="0"/>
          <w:numId w:val="5"/>
        </w:numPr>
      </w:pPr>
      <w:r w:rsidRPr="00FF296E">
        <w:rPr>
          <w:color w:val="303030"/>
        </w:rPr>
        <w:t>Initiering, implementering og koordination af konkrete udviklingsprojekter inden for udvalgets opgaveområde</w:t>
      </w:r>
    </w:p>
    <w:p w:rsidR="00FF296E" w:rsidRPr="00FF296E" w:rsidRDefault="00FF296E" w:rsidP="00FF296E">
      <w:pPr>
        <w:pStyle w:val="Listeafsnit"/>
        <w:numPr>
          <w:ilvl w:val="0"/>
          <w:numId w:val="5"/>
        </w:numPr>
      </w:pPr>
      <w:r w:rsidRPr="00FF296E">
        <w:rPr>
          <w:color w:val="303030"/>
        </w:rPr>
        <w:t>Samarbejde med offentlige og private operatører og aktører inden for udvalgets opgaveområde</w:t>
      </w:r>
    </w:p>
    <w:p w:rsidR="00FF296E" w:rsidRPr="00FF296E" w:rsidRDefault="00FF296E" w:rsidP="00FF296E">
      <w:pPr>
        <w:pStyle w:val="Listeafsnit"/>
        <w:numPr>
          <w:ilvl w:val="0"/>
          <w:numId w:val="5"/>
        </w:numPr>
      </w:pPr>
      <w:r w:rsidRPr="00FF296E">
        <w:rPr>
          <w:color w:val="303030"/>
        </w:rPr>
        <w:t>Virksomhed som byggeudvalg for bygge- og anlægsopgaver inden for udvalgets område.</w:t>
      </w:r>
    </w:p>
    <w:p w:rsidR="00FF296E" w:rsidRPr="001C56AB" w:rsidRDefault="00FF296E" w:rsidP="00FF296E">
      <w:r>
        <w:t xml:space="preserve">Hvis byrådet ønsker opbakning til vedvarende energi fra lokalbefolkningen i landdistrikterne, hvor kommunen ønsker at opføre anlæggene, bør midlerne i Grøn pulje udelukkende bruges i de lokalsamfund, hvor energianlæggene opstilles. </w:t>
      </w:r>
    </w:p>
    <w:p w:rsidR="00FF296E" w:rsidRDefault="00FF296E" w:rsidP="00FF296E">
      <w:pPr>
        <w:pStyle w:val="Listeafsnit"/>
        <w:numPr>
          <w:ilvl w:val="0"/>
          <w:numId w:val="4"/>
        </w:numPr>
      </w:pPr>
      <w:r>
        <w:t xml:space="preserve">Byrådet opfordres således til snarligt, at tage en politisk beslutning, så den berørte lokalbefolkning får kendskab til Grøn Puljes fremtid, herunder om midlerne særligt vil komme lokalområdet til gode. </w:t>
      </w:r>
    </w:p>
    <w:p w:rsidR="00FF296E" w:rsidRDefault="00FF296E" w:rsidP="00FF296E"/>
    <w:p w:rsidR="007D3801" w:rsidRDefault="007D3801" w:rsidP="007D3801">
      <w:pPr>
        <w:pStyle w:val="Overskrift2"/>
      </w:pPr>
      <w:bookmarkStart w:id="0" w:name="_Hlk120393100"/>
      <w:r>
        <w:t xml:space="preserve">Konsekvenser for bosætning og udvikling i landdistrikterne </w:t>
      </w:r>
    </w:p>
    <w:bookmarkEnd w:id="0"/>
    <w:p w:rsidR="007D3801" w:rsidRDefault="007D3801" w:rsidP="007D3801">
      <w:r>
        <w:t xml:space="preserve">Solcelleparkerne og vindmøller ønskes opført i et landdistrikt, som ligger langt fra større byer. De mennesker, som bosætter sig i et sådant område, ønsker at bo på landet og være tæt på naturen. Det er ikke et ønske om at befinde sig i eller have udsigt til tættere bebyggede områder med en masse tekniske anlæg. Når naturen fjernes for at tilgodese tekniske anlæg, vil charmen og fordelene ved at bosætte sig i landdistriktet forsvinde. Opsætning af vindmøller og solceller i området vil derfor utvivlsomt medføre fraflytning. </w:t>
      </w:r>
    </w:p>
    <w:p w:rsidR="007D3801" w:rsidRDefault="007D3801" w:rsidP="007D3801">
      <w:r>
        <w:t xml:space="preserve">Ejendomsmarkedet i Randers kommunes landdistrikter er i forvejen udfordret. Husene er billige og kan være til salg længe, ligesom det kan være vanskeligt at optage kreditforeningslån ved ønske om at erhverve fast ejendom i området. Opsætning af massive energiparker vil kun påvirke bosætningen i det pågældende landdistrikt negativt, da ejendommene uundgåeligt vil udsættes for værditab. </w:t>
      </w:r>
    </w:p>
    <w:p w:rsidR="007D3801" w:rsidRDefault="007D3801" w:rsidP="007D3801">
      <w:r>
        <w:t>Området er præget af små lokalsamfund med et rigt foreningsliv. Derudover fungerer naturen ofte som samlingspunkt for indbyggerne, som dagligt bruger</w:t>
      </w:r>
      <w:r w:rsidR="006709AE">
        <w:t xml:space="preserve"> </w:t>
      </w:r>
      <w:r>
        <w:t>og nyder naturen og de rekreative muligheder den giver. Ved en massiv amputering af naturen</w:t>
      </w:r>
      <w:r w:rsidR="006709AE">
        <w:t xml:space="preserve"> og færre mennesker i området</w:t>
      </w:r>
      <w:r>
        <w:t xml:space="preserve">, vil foreningslivet og de små lokalsamfund uddø. Ligeså vil den fortsatte mulighed for at have en skole, en brugs, en frisør, en idrætshal, et sundhedscenter, mm. Opsætningen af solceller og yderligere vindmøller vil derfor medføre, at der ikke vil ske nogen form for udvikling af lokalsamfundet – det vil derimod blive afviklet.  </w:t>
      </w:r>
    </w:p>
    <w:p w:rsidR="00A255A1" w:rsidRDefault="007D3801" w:rsidP="00A255A1">
      <w:r>
        <w:lastRenderedPageBreak/>
        <w:t xml:space="preserve">Med Randers Kommunes geografiske placering, har kommunen alle muligheder for at være en kommune, som rummer noget for alle – både dem der ønsker nærhed til skole, arbejdspladser og byliv, men også dem, der elsker de landlige omgivelser, ro, vild natur og rigt dyreliv. Det kræver blot, at kommunen lader by være by og naturen bestå på landet. </w:t>
      </w:r>
    </w:p>
    <w:p w:rsidR="00A255A1" w:rsidRDefault="007D3801" w:rsidP="00A255A1">
      <w:pPr>
        <w:pStyle w:val="Listeafsnit"/>
        <w:numPr>
          <w:ilvl w:val="0"/>
          <w:numId w:val="11"/>
        </w:numPr>
      </w:pPr>
      <w:r>
        <w:t xml:space="preserve">Byrådet opfordres til at lytte til lokalbefolkningens ønske om at bevare områdets natur og lokalsamfundet, med de muligheder, der fortsat er herude. </w:t>
      </w:r>
    </w:p>
    <w:p w:rsidR="00A255A1" w:rsidRDefault="00A255A1" w:rsidP="00A255A1">
      <w:pPr>
        <w:pStyle w:val="Listeafsnit"/>
      </w:pPr>
    </w:p>
    <w:p w:rsidR="007D3801" w:rsidRDefault="007D3801" w:rsidP="00A255A1">
      <w:pPr>
        <w:pStyle w:val="Listeafsnit"/>
      </w:pPr>
      <w:r>
        <w:t>Vedlagt er i den forbindelse 24</w:t>
      </w:r>
      <w:r w:rsidR="00641255">
        <w:t>7</w:t>
      </w:r>
      <w:r>
        <w:t xml:space="preserve"> underskrifter fra underskriftsindsamlingen ”Bevar 8970-området – Sig nej til afvikling af området til energighetto!”. </w:t>
      </w:r>
    </w:p>
    <w:p w:rsidR="00FF6260" w:rsidRDefault="00FF6260" w:rsidP="004858EE"/>
    <w:p w:rsidR="0072122C" w:rsidRDefault="0072122C" w:rsidP="004858EE"/>
    <w:p w:rsidR="007C6226" w:rsidRDefault="007C6226" w:rsidP="004858EE"/>
    <w:p w:rsidR="0072122C" w:rsidRDefault="0072122C" w:rsidP="004858EE">
      <w:r>
        <w:t xml:space="preserve">Katrine Buus Thorsen </w:t>
      </w:r>
    </w:p>
    <w:p w:rsidR="0072122C" w:rsidRPr="004858EE" w:rsidRDefault="0072122C" w:rsidP="004858EE">
      <w:r>
        <w:t xml:space="preserve">Vesterskovmark, Havndal </w:t>
      </w:r>
    </w:p>
    <w:sectPr w:rsidR="0072122C" w:rsidRPr="004858E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51F" w:rsidRDefault="00A2751F" w:rsidP="00474A31">
      <w:pPr>
        <w:spacing w:after="0" w:line="240" w:lineRule="auto"/>
      </w:pPr>
      <w:r>
        <w:separator/>
      </w:r>
    </w:p>
  </w:endnote>
  <w:endnote w:type="continuationSeparator" w:id="0">
    <w:p w:rsidR="00A2751F" w:rsidRDefault="00A2751F" w:rsidP="0047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51F" w:rsidRDefault="00A2751F" w:rsidP="00474A31">
      <w:pPr>
        <w:spacing w:after="0" w:line="240" w:lineRule="auto"/>
      </w:pPr>
      <w:r>
        <w:separator/>
      </w:r>
    </w:p>
  </w:footnote>
  <w:footnote w:type="continuationSeparator" w:id="0">
    <w:p w:rsidR="00A2751F" w:rsidRDefault="00A2751F" w:rsidP="0047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D9D"/>
    <w:multiLevelType w:val="hybridMultilevel"/>
    <w:tmpl w:val="2BF6D88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5F1648"/>
    <w:multiLevelType w:val="hybridMultilevel"/>
    <w:tmpl w:val="B0F8D0A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945B9A"/>
    <w:multiLevelType w:val="hybridMultilevel"/>
    <w:tmpl w:val="F5C62E00"/>
    <w:styleLink w:val="Punkttegn"/>
    <w:lvl w:ilvl="0" w:tplc="07D49676">
      <w:start w:val="1"/>
      <w:numFmt w:val="bullet"/>
      <w:lvlText w:val="•"/>
      <w:lvlJc w:val="left"/>
      <w:pPr>
        <w:ind w:left="544" w:hanging="324"/>
      </w:pPr>
      <w:rPr>
        <w:rFonts w:ascii="Helvetica" w:eastAsia="Helvetica" w:hAnsi="Helvetica" w:cs="Helvetica"/>
        <w:b w:val="0"/>
        <w:bCs w:val="0"/>
        <w:i w:val="0"/>
        <w:iCs w:val="0"/>
        <w:caps w:val="0"/>
        <w:smallCaps w:val="0"/>
        <w:strike w:val="0"/>
        <w:dstrike w:val="0"/>
        <w:outline w:val="0"/>
        <w:emboss w:val="0"/>
        <w:imprint w:val="0"/>
        <w:color w:val="303030"/>
        <w:spacing w:val="0"/>
        <w:w w:val="100"/>
        <w:kern w:val="0"/>
        <w:position w:val="0"/>
        <w:highlight w:val="none"/>
        <w:vertAlign w:val="baseline"/>
      </w:rPr>
    </w:lvl>
    <w:lvl w:ilvl="1" w:tplc="97BA5202">
      <w:start w:val="1"/>
      <w:numFmt w:val="bullet"/>
      <w:lvlText w:val="•"/>
      <w:lvlJc w:val="left"/>
      <w:pPr>
        <w:ind w:left="764" w:hanging="324"/>
      </w:pPr>
      <w:rPr>
        <w:rFonts w:ascii="Helvetica" w:eastAsia="Helvetica" w:hAnsi="Helvetica" w:cs="Helvetica"/>
        <w:b w:val="0"/>
        <w:bCs w:val="0"/>
        <w:i w:val="0"/>
        <w:iCs w:val="0"/>
        <w:caps w:val="0"/>
        <w:smallCaps w:val="0"/>
        <w:strike w:val="0"/>
        <w:dstrike w:val="0"/>
        <w:outline w:val="0"/>
        <w:emboss w:val="0"/>
        <w:imprint w:val="0"/>
        <w:color w:val="303030"/>
        <w:spacing w:val="0"/>
        <w:w w:val="100"/>
        <w:kern w:val="0"/>
        <w:position w:val="-2"/>
        <w:highlight w:val="none"/>
        <w:vertAlign w:val="baseline"/>
      </w:rPr>
    </w:lvl>
    <w:lvl w:ilvl="2" w:tplc="753E46E6">
      <w:start w:val="1"/>
      <w:numFmt w:val="bullet"/>
      <w:lvlText w:val="•"/>
      <w:lvlJc w:val="left"/>
      <w:pPr>
        <w:ind w:left="984" w:hanging="324"/>
      </w:pPr>
      <w:rPr>
        <w:rFonts w:ascii="Helvetica" w:eastAsia="Helvetica" w:hAnsi="Helvetica" w:cs="Helvetica"/>
        <w:b w:val="0"/>
        <w:bCs w:val="0"/>
        <w:i w:val="0"/>
        <w:iCs w:val="0"/>
        <w:caps w:val="0"/>
        <w:smallCaps w:val="0"/>
        <w:strike w:val="0"/>
        <w:dstrike w:val="0"/>
        <w:outline w:val="0"/>
        <w:emboss w:val="0"/>
        <w:imprint w:val="0"/>
        <w:color w:val="303030"/>
        <w:spacing w:val="0"/>
        <w:w w:val="100"/>
        <w:kern w:val="0"/>
        <w:position w:val="-2"/>
        <w:highlight w:val="none"/>
        <w:vertAlign w:val="baseline"/>
      </w:rPr>
    </w:lvl>
    <w:lvl w:ilvl="3" w:tplc="66E4A066">
      <w:start w:val="1"/>
      <w:numFmt w:val="bullet"/>
      <w:lvlText w:val="•"/>
      <w:lvlJc w:val="left"/>
      <w:pPr>
        <w:ind w:left="1204" w:hanging="324"/>
      </w:pPr>
      <w:rPr>
        <w:rFonts w:ascii="Helvetica" w:eastAsia="Helvetica" w:hAnsi="Helvetica" w:cs="Helvetica"/>
        <w:b w:val="0"/>
        <w:bCs w:val="0"/>
        <w:i w:val="0"/>
        <w:iCs w:val="0"/>
        <w:caps w:val="0"/>
        <w:smallCaps w:val="0"/>
        <w:strike w:val="0"/>
        <w:dstrike w:val="0"/>
        <w:outline w:val="0"/>
        <w:emboss w:val="0"/>
        <w:imprint w:val="0"/>
        <w:color w:val="303030"/>
        <w:spacing w:val="0"/>
        <w:w w:val="100"/>
        <w:kern w:val="0"/>
        <w:position w:val="-2"/>
        <w:highlight w:val="none"/>
        <w:vertAlign w:val="baseline"/>
      </w:rPr>
    </w:lvl>
    <w:lvl w:ilvl="4" w:tplc="0BB6CB44">
      <w:start w:val="1"/>
      <w:numFmt w:val="bullet"/>
      <w:lvlText w:val="•"/>
      <w:lvlJc w:val="left"/>
      <w:pPr>
        <w:ind w:left="1424" w:hanging="324"/>
      </w:pPr>
      <w:rPr>
        <w:rFonts w:ascii="Helvetica" w:eastAsia="Helvetica" w:hAnsi="Helvetica" w:cs="Helvetica"/>
        <w:b w:val="0"/>
        <w:bCs w:val="0"/>
        <w:i w:val="0"/>
        <w:iCs w:val="0"/>
        <w:caps w:val="0"/>
        <w:smallCaps w:val="0"/>
        <w:strike w:val="0"/>
        <w:dstrike w:val="0"/>
        <w:outline w:val="0"/>
        <w:emboss w:val="0"/>
        <w:imprint w:val="0"/>
        <w:color w:val="303030"/>
        <w:spacing w:val="0"/>
        <w:w w:val="100"/>
        <w:kern w:val="0"/>
        <w:position w:val="-2"/>
        <w:highlight w:val="none"/>
        <w:vertAlign w:val="baseline"/>
      </w:rPr>
    </w:lvl>
    <w:lvl w:ilvl="5" w:tplc="7ABE3CE4">
      <w:start w:val="1"/>
      <w:numFmt w:val="bullet"/>
      <w:lvlText w:val="•"/>
      <w:lvlJc w:val="left"/>
      <w:pPr>
        <w:ind w:left="1644" w:hanging="324"/>
      </w:pPr>
      <w:rPr>
        <w:rFonts w:ascii="Helvetica" w:eastAsia="Helvetica" w:hAnsi="Helvetica" w:cs="Helvetica"/>
        <w:b w:val="0"/>
        <w:bCs w:val="0"/>
        <w:i w:val="0"/>
        <w:iCs w:val="0"/>
        <w:caps w:val="0"/>
        <w:smallCaps w:val="0"/>
        <w:strike w:val="0"/>
        <w:dstrike w:val="0"/>
        <w:outline w:val="0"/>
        <w:emboss w:val="0"/>
        <w:imprint w:val="0"/>
        <w:color w:val="303030"/>
        <w:spacing w:val="0"/>
        <w:w w:val="100"/>
        <w:kern w:val="0"/>
        <w:position w:val="-2"/>
        <w:highlight w:val="none"/>
        <w:vertAlign w:val="baseline"/>
      </w:rPr>
    </w:lvl>
    <w:lvl w:ilvl="6" w:tplc="796E12AC">
      <w:start w:val="1"/>
      <w:numFmt w:val="bullet"/>
      <w:lvlText w:val="•"/>
      <w:lvlJc w:val="left"/>
      <w:pPr>
        <w:ind w:left="1864" w:hanging="324"/>
      </w:pPr>
      <w:rPr>
        <w:rFonts w:ascii="Helvetica" w:eastAsia="Helvetica" w:hAnsi="Helvetica" w:cs="Helvetica"/>
        <w:b w:val="0"/>
        <w:bCs w:val="0"/>
        <w:i w:val="0"/>
        <w:iCs w:val="0"/>
        <w:caps w:val="0"/>
        <w:smallCaps w:val="0"/>
        <w:strike w:val="0"/>
        <w:dstrike w:val="0"/>
        <w:outline w:val="0"/>
        <w:emboss w:val="0"/>
        <w:imprint w:val="0"/>
        <w:color w:val="303030"/>
        <w:spacing w:val="0"/>
        <w:w w:val="100"/>
        <w:kern w:val="0"/>
        <w:position w:val="-2"/>
        <w:highlight w:val="none"/>
        <w:vertAlign w:val="baseline"/>
      </w:rPr>
    </w:lvl>
    <w:lvl w:ilvl="7" w:tplc="BFCEF1FE">
      <w:start w:val="1"/>
      <w:numFmt w:val="bullet"/>
      <w:lvlText w:val="•"/>
      <w:lvlJc w:val="left"/>
      <w:pPr>
        <w:ind w:left="2084" w:hanging="324"/>
      </w:pPr>
      <w:rPr>
        <w:rFonts w:ascii="Helvetica" w:eastAsia="Helvetica" w:hAnsi="Helvetica" w:cs="Helvetica"/>
        <w:b w:val="0"/>
        <w:bCs w:val="0"/>
        <w:i w:val="0"/>
        <w:iCs w:val="0"/>
        <w:caps w:val="0"/>
        <w:smallCaps w:val="0"/>
        <w:strike w:val="0"/>
        <w:dstrike w:val="0"/>
        <w:outline w:val="0"/>
        <w:emboss w:val="0"/>
        <w:imprint w:val="0"/>
        <w:color w:val="303030"/>
        <w:spacing w:val="0"/>
        <w:w w:val="100"/>
        <w:kern w:val="0"/>
        <w:position w:val="-2"/>
        <w:highlight w:val="none"/>
        <w:vertAlign w:val="baseline"/>
      </w:rPr>
    </w:lvl>
    <w:lvl w:ilvl="8" w:tplc="673CE6C2">
      <w:start w:val="1"/>
      <w:numFmt w:val="bullet"/>
      <w:lvlText w:val="•"/>
      <w:lvlJc w:val="left"/>
      <w:pPr>
        <w:ind w:left="2304" w:hanging="324"/>
      </w:pPr>
      <w:rPr>
        <w:rFonts w:ascii="Helvetica" w:eastAsia="Helvetica" w:hAnsi="Helvetica" w:cs="Helvetica"/>
        <w:b w:val="0"/>
        <w:bCs w:val="0"/>
        <w:i w:val="0"/>
        <w:iCs w:val="0"/>
        <w:caps w:val="0"/>
        <w:smallCaps w:val="0"/>
        <w:strike w:val="0"/>
        <w:dstrike w:val="0"/>
        <w:outline w:val="0"/>
        <w:emboss w:val="0"/>
        <w:imprint w:val="0"/>
        <w:color w:val="303030"/>
        <w:spacing w:val="0"/>
        <w:w w:val="100"/>
        <w:kern w:val="0"/>
        <w:position w:val="-2"/>
        <w:highlight w:val="none"/>
        <w:vertAlign w:val="baseline"/>
      </w:rPr>
    </w:lvl>
  </w:abstractNum>
  <w:abstractNum w:abstractNumId="3" w15:restartNumberingAfterBreak="0">
    <w:nsid w:val="187B6A3E"/>
    <w:multiLevelType w:val="hybridMultilevel"/>
    <w:tmpl w:val="3F74A2C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4E1B58"/>
    <w:multiLevelType w:val="hybridMultilevel"/>
    <w:tmpl w:val="8472ACEE"/>
    <w:lvl w:ilvl="0" w:tplc="ABCC5006">
      <w:numFmt w:val="bullet"/>
      <w:lvlText w:val="-"/>
      <w:lvlJc w:val="left"/>
      <w:pPr>
        <w:ind w:left="1137" w:hanging="360"/>
      </w:pPr>
      <w:rPr>
        <w:rFonts w:ascii="Calibri" w:eastAsiaTheme="minorHAnsi" w:hAnsi="Calibri" w:cs="Calibri" w:hint="default"/>
      </w:rPr>
    </w:lvl>
    <w:lvl w:ilvl="1" w:tplc="04060003" w:tentative="1">
      <w:start w:val="1"/>
      <w:numFmt w:val="bullet"/>
      <w:lvlText w:val="o"/>
      <w:lvlJc w:val="left"/>
      <w:pPr>
        <w:ind w:left="1857" w:hanging="360"/>
      </w:pPr>
      <w:rPr>
        <w:rFonts w:ascii="Courier New" w:hAnsi="Courier New" w:cs="Courier New" w:hint="default"/>
      </w:rPr>
    </w:lvl>
    <w:lvl w:ilvl="2" w:tplc="04060005" w:tentative="1">
      <w:start w:val="1"/>
      <w:numFmt w:val="bullet"/>
      <w:lvlText w:val=""/>
      <w:lvlJc w:val="left"/>
      <w:pPr>
        <w:ind w:left="2577" w:hanging="360"/>
      </w:pPr>
      <w:rPr>
        <w:rFonts w:ascii="Wingdings" w:hAnsi="Wingdings" w:hint="default"/>
      </w:rPr>
    </w:lvl>
    <w:lvl w:ilvl="3" w:tplc="04060001" w:tentative="1">
      <w:start w:val="1"/>
      <w:numFmt w:val="bullet"/>
      <w:lvlText w:val=""/>
      <w:lvlJc w:val="left"/>
      <w:pPr>
        <w:ind w:left="3297" w:hanging="360"/>
      </w:pPr>
      <w:rPr>
        <w:rFonts w:ascii="Symbol" w:hAnsi="Symbol" w:hint="default"/>
      </w:rPr>
    </w:lvl>
    <w:lvl w:ilvl="4" w:tplc="04060003" w:tentative="1">
      <w:start w:val="1"/>
      <w:numFmt w:val="bullet"/>
      <w:lvlText w:val="o"/>
      <w:lvlJc w:val="left"/>
      <w:pPr>
        <w:ind w:left="4017" w:hanging="360"/>
      </w:pPr>
      <w:rPr>
        <w:rFonts w:ascii="Courier New" w:hAnsi="Courier New" w:cs="Courier New" w:hint="default"/>
      </w:rPr>
    </w:lvl>
    <w:lvl w:ilvl="5" w:tplc="04060005" w:tentative="1">
      <w:start w:val="1"/>
      <w:numFmt w:val="bullet"/>
      <w:lvlText w:val=""/>
      <w:lvlJc w:val="left"/>
      <w:pPr>
        <w:ind w:left="4737" w:hanging="360"/>
      </w:pPr>
      <w:rPr>
        <w:rFonts w:ascii="Wingdings" w:hAnsi="Wingdings" w:hint="default"/>
      </w:rPr>
    </w:lvl>
    <w:lvl w:ilvl="6" w:tplc="04060001" w:tentative="1">
      <w:start w:val="1"/>
      <w:numFmt w:val="bullet"/>
      <w:lvlText w:val=""/>
      <w:lvlJc w:val="left"/>
      <w:pPr>
        <w:ind w:left="5457" w:hanging="360"/>
      </w:pPr>
      <w:rPr>
        <w:rFonts w:ascii="Symbol" w:hAnsi="Symbol" w:hint="default"/>
      </w:rPr>
    </w:lvl>
    <w:lvl w:ilvl="7" w:tplc="04060003" w:tentative="1">
      <w:start w:val="1"/>
      <w:numFmt w:val="bullet"/>
      <w:lvlText w:val="o"/>
      <w:lvlJc w:val="left"/>
      <w:pPr>
        <w:ind w:left="6177" w:hanging="360"/>
      </w:pPr>
      <w:rPr>
        <w:rFonts w:ascii="Courier New" w:hAnsi="Courier New" w:cs="Courier New" w:hint="default"/>
      </w:rPr>
    </w:lvl>
    <w:lvl w:ilvl="8" w:tplc="04060005" w:tentative="1">
      <w:start w:val="1"/>
      <w:numFmt w:val="bullet"/>
      <w:lvlText w:val=""/>
      <w:lvlJc w:val="left"/>
      <w:pPr>
        <w:ind w:left="6897" w:hanging="360"/>
      </w:pPr>
      <w:rPr>
        <w:rFonts w:ascii="Wingdings" w:hAnsi="Wingdings" w:hint="default"/>
      </w:rPr>
    </w:lvl>
  </w:abstractNum>
  <w:abstractNum w:abstractNumId="5" w15:restartNumberingAfterBreak="0">
    <w:nsid w:val="2F3A7426"/>
    <w:multiLevelType w:val="hybridMultilevel"/>
    <w:tmpl w:val="8E04BB42"/>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ABF58AF"/>
    <w:multiLevelType w:val="hybridMultilevel"/>
    <w:tmpl w:val="C45E0748"/>
    <w:lvl w:ilvl="0" w:tplc="04060003">
      <w:start w:val="1"/>
      <w:numFmt w:val="bullet"/>
      <w:lvlText w:val="o"/>
      <w:lvlJc w:val="left"/>
      <w:pPr>
        <w:ind w:left="1440" w:hanging="360"/>
      </w:pPr>
      <w:rPr>
        <w:rFonts w:ascii="Courier New" w:hAnsi="Courier New" w:cs="Courier New"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519E6483"/>
    <w:multiLevelType w:val="hybridMultilevel"/>
    <w:tmpl w:val="A86E39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33139D7"/>
    <w:multiLevelType w:val="hybridMultilevel"/>
    <w:tmpl w:val="90F6BC6A"/>
    <w:lvl w:ilvl="0" w:tplc="04060003">
      <w:start w:val="1"/>
      <w:numFmt w:val="bullet"/>
      <w:lvlText w:val="o"/>
      <w:lvlJc w:val="left"/>
      <w:pPr>
        <w:ind w:left="777" w:hanging="360"/>
      </w:pPr>
      <w:rPr>
        <w:rFonts w:ascii="Courier New" w:hAnsi="Courier New" w:cs="Courier New" w:hint="default"/>
      </w:rPr>
    </w:lvl>
    <w:lvl w:ilvl="1" w:tplc="04060003">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9" w15:restartNumberingAfterBreak="0">
    <w:nsid w:val="56A65632"/>
    <w:multiLevelType w:val="hybridMultilevel"/>
    <w:tmpl w:val="F5C62E00"/>
    <w:numStyleLink w:val="Punkttegn"/>
  </w:abstractNum>
  <w:abstractNum w:abstractNumId="10" w15:restartNumberingAfterBreak="0">
    <w:nsid w:val="62551B6A"/>
    <w:multiLevelType w:val="hybridMultilevel"/>
    <w:tmpl w:val="7930A43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8D17B2"/>
    <w:multiLevelType w:val="hybridMultilevel"/>
    <w:tmpl w:val="86CCDF0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7033352">
    <w:abstractNumId w:val="1"/>
  </w:num>
  <w:num w:numId="2" w16cid:durableId="720515939">
    <w:abstractNumId w:val="5"/>
  </w:num>
  <w:num w:numId="3" w16cid:durableId="584415507">
    <w:abstractNumId w:val="6"/>
  </w:num>
  <w:num w:numId="4" w16cid:durableId="414131706">
    <w:abstractNumId w:val="8"/>
  </w:num>
  <w:num w:numId="5" w16cid:durableId="473568606">
    <w:abstractNumId w:val="4"/>
  </w:num>
  <w:num w:numId="6" w16cid:durableId="1692100309">
    <w:abstractNumId w:val="7"/>
  </w:num>
  <w:num w:numId="7" w16cid:durableId="571888392">
    <w:abstractNumId w:val="3"/>
  </w:num>
  <w:num w:numId="8" w16cid:durableId="506017868">
    <w:abstractNumId w:val="2"/>
  </w:num>
  <w:num w:numId="9" w16cid:durableId="1873609137">
    <w:abstractNumId w:val="9"/>
  </w:num>
  <w:num w:numId="10" w16cid:durableId="1034698281">
    <w:abstractNumId w:val="10"/>
  </w:num>
  <w:num w:numId="11" w16cid:durableId="1536506353">
    <w:abstractNumId w:val="0"/>
  </w:num>
  <w:num w:numId="12" w16cid:durableId="7589106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1"/>
    <w:rsid w:val="0000097F"/>
    <w:rsid w:val="00030FE1"/>
    <w:rsid w:val="00053D0C"/>
    <w:rsid w:val="0007423E"/>
    <w:rsid w:val="000849DA"/>
    <w:rsid w:val="000A21CD"/>
    <w:rsid w:val="00115D22"/>
    <w:rsid w:val="00161849"/>
    <w:rsid w:val="00164988"/>
    <w:rsid w:val="001B66D2"/>
    <w:rsid w:val="001F6700"/>
    <w:rsid w:val="00206709"/>
    <w:rsid w:val="00214D4E"/>
    <w:rsid w:val="002224B0"/>
    <w:rsid w:val="0028426B"/>
    <w:rsid w:val="002E5148"/>
    <w:rsid w:val="002E5CD8"/>
    <w:rsid w:val="003061C1"/>
    <w:rsid w:val="003145C3"/>
    <w:rsid w:val="00332136"/>
    <w:rsid w:val="00370CB4"/>
    <w:rsid w:val="003A5672"/>
    <w:rsid w:val="00454F72"/>
    <w:rsid w:val="0045591A"/>
    <w:rsid w:val="00462956"/>
    <w:rsid w:val="00472CB1"/>
    <w:rsid w:val="00474A31"/>
    <w:rsid w:val="00482587"/>
    <w:rsid w:val="004858EE"/>
    <w:rsid w:val="00516380"/>
    <w:rsid w:val="0051676E"/>
    <w:rsid w:val="00525178"/>
    <w:rsid w:val="0053075E"/>
    <w:rsid w:val="0057343E"/>
    <w:rsid w:val="005A4567"/>
    <w:rsid w:val="005C5023"/>
    <w:rsid w:val="005D3F52"/>
    <w:rsid w:val="00620459"/>
    <w:rsid w:val="00641255"/>
    <w:rsid w:val="00651267"/>
    <w:rsid w:val="006709AE"/>
    <w:rsid w:val="006A5DDB"/>
    <w:rsid w:val="006E048D"/>
    <w:rsid w:val="00717C27"/>
    <w:rsid w:val="0072122C"/>
    <w:rsid w:val="007331B2"/>
    <w:rsid w:val="00737F1A"/>
    <w:rsid w:val="00745964"/>
    <w:rsid w:val="00776A2E"/>
    <w:rsid w:val="0078202D"/>
    <w:rsid w:val="007A3364"/>
    <w:rsid w:val="007B050E"/>
    <w:rsid w:val="007C6226"/>
    <w:rsid w:val="007C6775"/>
    <w:rsid w:val="007C7680"/>
    <w:rsid w:val="007D3801"/>
    <w:rsid w:val="00825377"/>
    <w:rsid w:val="00847204"/>
    <w:rsid w:val="0086114F"/>
    <w:rsid w:val="00894233"/>
    <w:rsid w:val="008A1CAB"/>
    <w:rsid w:val="008B04E9"/>
    <w:rsid w:val="008B7F4B"/>
    <w:rsid w:val="008D4044"/>
    <w:rsid w:val="008F1D47"/>
    <w:rsid w:val="009276F8"/>
    <w:rsid w:val="00966A5D"/>
    <w:rsid w:val="009B2655"/>
    <w:rsid w:val="009D3D41"/>
    <w:rsid w:val="00A255A1"/>
    <w:rsid w:val="00A2751F"/>
    <w:rsid w:val="00A5293E"/>
    <w:rsid w:val="00AC548B"/>
    <w:rsid w:val="00AD4938"/>
    <w:rsid w:val="00AE070D"/>
    <w:rsid w:val="00B56535"/>
    <w:rsid w:val="00BA2A71"/>
    <w:rsid w:val="00BF4C67"/>
    <w:rsid w:val="00C670E6"/>
    <w:rsid w:val="00C7179C"/>
    <w:rsid w:val="00CE44F5"/>
    <w:rsid w:val="00D107E0"/>
    <w:rsid w:val="00D116BB"/>
    <w:rsid w:val="00D252DC"/>
    <w:rsid w:val="00D34DA1"/>
    <w:rsid w:val="00D43BA3"/>
    <w:rsid w:val="00D91F45"/>
    <w:rsid w:val="00DB42FC"/>
    <w:rsid w:val="00DC1741"/>
    <w:rsid w:val="00DC1B3E"/>
    <w:rsid w:val="00DD7331"/>
    <w:rsid w:val="00E1251C"/>
    <w:rsid w:val="00E14BD3"/>
    <w:rsid w:val="00E4633B"/>
    <w:rsid w:val="00E8177D"/>
    <w:rsid w:val="00EB1F2E"/>
    <w:rsid w:val="00F008D3"/>
    <w:rsid w:val="00F65F60"/>
    <w:rsid w:val="00F940CC"/>
    <w:rsid w:val="00F9553F"/>
    <w:rsid w:val="00F96192"/>
    <w:rsid w:val="00FD792B"/>
    <w:rsid w:val="00FF1BDD"/>
    <w:rsid w:val="00FF296E"/>
    <w:rsid w:val="00FF62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C828"/>
  <w15:chartTrackingRefBased/>
  <w15:docId w15:val="{2363708B-22EB-4FE8-9D53-68BCE532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31"/>
  </w:style>
  <w:style w:type="paragraph" w:styleId="Overskrift1">
    <w:name w:val="heading 1"/>
    <w:basedOn w:val="Normal"/>
    <w:next w:val="Normal"/>
    <w:link w:val="Overskrift1Tegn"/>
    <w:uiPriority w:val="9"/>
    <w:qFormat/>
    <w:rsid w:val="00DD73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74A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4">
    <w:name w:val="heading 4"/>
    <w:basedOn w:val="Normal"/>
    <w:next w:val="Normal"/>
    <w:link w:val="Overskrift4Tegn"/>
    <w:uiPriority w:val="9"/>
    <w:unhideWhenUsed/>
    <w:qFormat/>
    <w:rsid w:val="00474A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74A31"/>
    <w:rPr>
      <w:rFonts w:asciiTheme="majorHAnsi" w:eastAsiaTheme="majorEastAsia" w:hAnsiTheme="majorHAnsi" w:cstheme="majorBidi"/>
      <w:color w:val="2F5496" w:themeColor="accent1" w:themeShade="BF"/>
      <w:sz w:val="26"/>
      <w:szCs w:val="26"/>
    </w:rPr>
  </w:style>
  <w:style w:type="character" w:customStyle="1" w:styleId="Overskrift4Tegn">
    <w:name w:val="Overskrift 4 Tegn"/>
    <w:basedOn w:val="Standardskrifttypeiafsnit"/>
    <w:link w:val="Overskrift4"/>
    <w:uiPriority w:val="9"/>
    <w:rsid w:val="00474A31"/>
    <w:rPr>
      <w:rFonts w:asciiTheme="majorHAnsi" w:eastAsiaTheme="majorEastAsia" w:hAnsiTheme="majorHAnsi" w:cstheme="majorBidi"/>
      <w:i/>
      <w:iCs/>
      <w:color w:val="2F5496" w:themeColor="accent1" w:themeShade="BF"/>
    </w:rPr>
  </w:style>
  <w:style w:type="paragraph" w:styleId="Listeafsnit">
    <w:name w:val="List Paragraph"/>
    <w:basedOn w:val="Normal"/>
    <w:uiPriority w:val="34"/>
    <w:qFormat/>
    <w:rsid w:val="00474A31"/>
    <w:pPr>
      <w:ind w:left="720"/>
      <w:contextualSpacing/>
    </w:pPr>
  </w:style>
  <w:style w:type="paragraph" w:styleId="Titel">
    <w:name w:val="Title"/>
    <w:basedOn w:val="Normal"/>
    <w:next w:val="Normal"/>
    <w:link w:val="TitelTegn"/>
    <w:uiPriority w:val="10"/>
    <w:qFormat/>
    <w:rsid w:val="00474A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74A31"/>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474A31"/>
    <w:rPr>
      <w:color w:val="0563C1" w:themeColor="hyperlink"/>
      <w:u w:val="single"/>
    </w:rPr>
  </w:style>
  <w:style w:type="paragraph" w:styleId="Fodnotetekst">
    <w:name w:val="footnote text"/>
    <w:basedOn w:val="Normal"/>
    <w:link w:val="FodnotetekstTegn"/>
    <w:uiPriority w:val="99"/>
    <w:semiHidden/>
    <w:unhideWhenUsed/>
    <w:rsid w:val="00474A3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74A31"/>
    <w:rPr>
      <w:sz w:val="20"/>
      <w:szCs w:val="20"/>
    </w:rPr>
  </w:style>
  <w:style w:type="character" w:styleId="Fodnotehenvisning">
    <w:name w:val="footnote reference"/>
    <w:basedOn w:val="Standardskrifttypeiafsnit"/>
    <w:uiPriority w:val="99"/>
    <w:semiHidden/>
    <w:unhideWhenUsed/>
    <w:rsid w:val="00474A31"/>
    <w:rPr>
      <w:vertAlign w:val="superscript"/>
    </w:rPr>
  </w:style>
  <w:style w:type="character" w:customStyle="1" w:styleId="Overskrift1Tegn">
    <w:name w:val="Overskrift 1 Tegn"/>
    <w:basedOn w:val="Standardskrifttypeiafsnit"/>
    <w:link w:val="Overskrift1"/>
    <w:uiPriority w:val="9"/>
    <w:rsid w:val="00DD7331"/>
    <w:rPr>
      <w:rFonts w:asciiTheme="majorHAnsi" w:eastAsiaTheme="majorEastAsia" w:hAnsiTheme="majorHAnsi" w:cstheme="majorBidi"/>
      <w:color w:val="2F5496" w:themeColor="accent1" w:themeShade="BF"/>
      <w:sz w:val="32"/>
      <w:szCs w:val="32"/>
    </w:rPr>
  </w:style>
  <w:style w:type="character" w:styleId="Ulstomtale">
    <w:name w:val="Unresolved Mention"/>
    <w:basedOn w:val="Standardskrifttypeiafsnit"/>
    <w:uiPriority w:val="99"/>
    <w:semiHidden/>
    <w:unhideWhenUsed/>
    <w:rsid w:val="00620459"/>
    <w:rPr>
      <w:color w:val="605E5C"/>
      <w:shd w:val="clear" w:color="auto" w:fill="E1DFDD"/>
    </w:rPr>
  </w:style>
  <w:style w:type="character" w:styleId="BesgtLink">
    <w:name w:val="FollowedHyperlink"/>
    <w:basedOn w:val="Standardskrifttypeiafsnit"/>
    <w:uiPriority w:val="99"/>
    <w:semiHidden/>
    <w:unhideWhenUsed/>
    <w:rsid w:val="00115D22"/>
    <w:rPr>
      <w:color w:val="954F72" w:themeColor="followedHyperlink"/>
      <w:u w:val="single"/>
    </w:rPr>
  </w:style>
  <w:style w:type="paragraph" w:styleId="NormalWeb">
    <w:name w:val="Normal (Web)"/>
    <w:basedOn w:val="Normal"/>
    <w:uiPriority w:val="99"/>
    <w:semiHidden/>
    <w:unhideWhenUsed/>
    <w:rsid w:val="00FF626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line-block">
    <w:name w:val="inline-block"/>
    <w:basedOn w:val="Normal"/>
    <w:rsid w:val="00FF626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ext-sm">
    <w:name w:val="text-sm"/>
    <w:basedOn w:val="Normal"/>
    <w:rsid w:val="00FF626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rdtekst">
    <w:name w:val="Body Text"/>
    <w:link w:val="BrdtekstTegn"/>
    <w:rsid w:val="00FF296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FF296E"/>
    <w:rPr>
      <w:rFonts w:ascii="Helvetica Neue" w:eastAsia="Arial Unicode MS" w:hAnsi="Helvetica Neue" w:cs="Arial Unicode MS"/>
      <w:color w:val="000000"/>
      <w:bdr w:val="nil"/>
      <w:lang w:val="en-US" w:eastAsia="da-DK"/>
      <w14:textOutline w14:w="0" w14:cap="flat" w14:cmpd="sng" w14:algn="ctr">
        <w14:noFill/>
        <w14:prstDash w14:val="solid"/>
        <w14:bevel/>
      </w14:textOutline>
    </w:rPr>
  </w:style>
  <w:style w:type="paragraph" w:customStyle="1" w:styleId="Standard">
    <w:name w:val="Standard"/>
    <w:rsid w:val="00FF296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da-DK"/>
      <w14:textOutline w14:w="0" w14:cap="flat" w14:cmpd="sng" w14:algn="ctr">
        <w14:noFill/>
        <w14:prstDash w14:val="solid"/>
        <w14:bevel/>
      </w14:textOutline>
    </w:rPr>
  </w:style>
  <w:style w:type="numbering" w:customStyle="1" w:styleId="Punkttegn">
    <w:name w:val="Punkttegn"/>
    <w:rsid w:val="00FF296E"/>
    <w:pPr>
      <w:numPr>
        <w:numId w:val="8"/>
      </w:numPr>
    </w:pPr>
  </w:style>
  <w:style w:type="character" w:customStyle="1" w:styleId="Hyperlink0">
    <w:name w:val="Hyperlink.0"/>
    <w:basedOn w:val="Hyperlink"/>
    <w:rsid w:val="00CE44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313480">
      <w:bodyDiv w:val="1"/>
      <w:marLeft w:val="0"/>
      <w:marRight w:val="0"/>
      <w:marTop w:val="0"/>
      <w:marBottom w:val="0"/>
      <w:divBdr>
        <w:top w:val="none" w:sz="0" w:space="0" w:color="auto"/>
        <w:left w:val="none" w:sz="0" w:space="0" w:color="auto"/>
        <w:bottom w:val="none" w:sz="0" w:space="0" w:color="auto"/>
        <w:right w:val="none" w:sz="0" w:space="0" w:color="auto"/>
      </w:divBdr>
      <w:divsChild>
        <w:div w:id="1842970280">
          <w:marLeft w:val="2550"/>
          <w:marRight w:val="2550"/>
          <w:marTop w:val="0"/>
          <w:marBottom w:val="0"/>
          <w:divBdr>
            <w:top w:val="single" w:sz="2" w:space="0" w:color="D4D4D4"/>
            <w:left w:val="single" w:sz="2" w:space="0" w:color="D4D4D4"/>
            <w:bottom w:val="single" w:sz="2" w:space="0" w:color="D4D4D4"/>
            <w:right w:val="single" w:sz="2" w:space="0" w:color="D4D4D4"/>
          </w:divBdr>
          <w:divsChild>
            <w:div w:id="1861893954">
              <w:marLeft w:val="0"/>
              <w:marRight w:val="0"/>
              <w:marTop w:val="0"/>
              <w:marBottom w:val="0"/>
              <w:divBdr>
                <w:top w:val="single" w:sz="2" w:space="0" w:color="D4D4D4"/>
                <w:left w:val="single" w:sz="2" w:space="0" w:color="D4D4D4"/>
                <w:bottom w:val="single" w:sz="2" w:space="0" w:color="D4D4D4"/>
                <w:right w:val="single" w:sz="2" w:space="0" w:color="D4D4D4"/>
              </w:divBdr>
            </w:div>
          </w:divsChild>
        </w:div>
        <w:div w:id="1638030631">
          <w:marLeft w:val="2550"/>
          <w:marRight w:val="2550"/>
          <w:marTop w:val="0"/>
          <w:marBottom w:val="0"/>
          <w:divBdr>
            <w:top w:val="single" w:sz="2" w:space="0" w:color="D4D4D4"/>
            <w:left w:val="single" w:sz="2" w:space="0" w:color="D4D4D4"/>
            <w:bottom w:val="single" w:sz="2" w:space="0" w:color="D4D4D4"/>
            <w:right w:val="single" w:sz="2" w:space="0" w:color="D4D4D4"/>
          </w:divBdr>
          <w:divsChild>
            <w:div w:id="308216041">
              <w:blockQuote w:val="1"/>
              <w:marLeft w:val="720"/>
              <w:marRight w:val="720"/>
              <w:marTop w:val="100"/>
              <w:marBottom w:val="100"/>
              <w:divBdr>
                <w:top w:val="single" w:sz="2" w:space="0" w:color="auto"/>
                <w:left w:val="single" w:sz="24" w:space="0" w:color="auto"/>
                <w:bottom w:val="single" w:sz="2" w:space="0" w:color="auto"/>
                <w:right w:val="single" w:sz="2" w:space="0" w:color="auto"/>
              </w:divBdr>
            </w:div>
          </w:divsChild>
        </w:div>
        <w:div w:id="19942879">
          <w:marLeft w:val="2550"/>
          <w:marRight w:val="2550"/>
          <w:marTop w:val="0"/>
          <w:marBottom w:val="0"/>
          <w:divBdr>
            <w:top w:val="single" w:sz="2" w:space="0" w:color="D4D4D4"/>
            <w:left w:val="single" w:sz="2" w:space="0" w:color="D4D4D4"/>
            <w:bottom w:val="single" w:sz="2" w:space="0" w:color="D4D4D4"/>
            <w:right w:val="single" w:sz="2" w:space="0" w:color="D4D4D4"/>
          </w:divBdr>
          <w:divsChild>
            <w:div w:id="1220048844">
              <w:marLeft w:val="0"/>
              <w:marRight w:val="0"/>
              <w:marTop w:val="0"/>
              <w:marBottom w:val="0"/>
              <w:divBdr>
                <w:top w:val="single" w:sz="2" w:space="0" w:color="D4D4D4"/>
                <w:left w:val="single" w:sz="2" w:space="0" w:color="D4D4D4"/>
                <w:bottom w:val="single" w:sz="2" w:space="0" w:color="D4D4D4"/>
                <w:right w:val="single" w:sz="2" w:space="0" w:color="D4D4D4"/>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parkrandersfjord.dk/naturen/vadehavet-mod-kattegaat/" TargetMode="External"/><Relationship Id="rId3" Type="http://schemas.openxmlformats.org/officeDocument/2006/relationships/settings" Target="settings.xml"/><Relationship Id="rId7" Type="http://schemas.openxmlformats.org/officeDocument/2006/relationships/hyperlink" Target="https://www.naturparkrandersfjord.dk/natu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7</Pages>
  <Words>2469</Words>
  <Characters>15062</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Thorsen</dc:creator>
  <cp:keywords/>
  <dc:description/>
  <cp:lastModifiedBy>Mikkel Thorsen</cp:lastModifiedBy>
  <cp:revision>81</cp:revision>
  <dcterms:created xsi:type="dcterms:W3CDTF">2022-11-24T19:18:00Z</dcterms:created>
  <dcterms:modified xsi:type="dcterms:W3CDTF">2022-12-05T20:47:00Z</dcterms:modified>
</cp:coreProperties>
</file>