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639" w:rsidRDefault="003F4639" w:rsidP="00B62B56"/>
    <w:p w:rsidR="00F37C08" w:rsidRPr="00F37C08" w:rsidRDefault="00F37C08" w:rsidP="00F37C08">
      <w:pPr>
        <w:spacing w:after="160" w:line="259" w:lineRule="auto"/>
        <w:jc w:val="right"/>
        <w:rPr>
          <w:rFonts w:ascii="Calibri" w:eastAsia="Calibri" w:hAnsi="Calibri"/>
          <w:b/>
          <w:bCs/>
          <w:kern w:val="0"/>
          <w:sz w:val="22"/>
          <w:szCs w:val="22"/>
          <w:lang w:eastAsia="en-US"/>
        </w:rPr>
      </w:pPr>
      <w:r w:rsidRPr="00F37C08">
        <w:rPr>
          <w:rFonts w:ascii="Calibri" w:eastAsia="Calibri" w:hAnsi="Calibri"/>
          <w:b/>
          <w:bCs/>
          <w:kern w:val="0"/>
          <w:sz w:val="22"/>
          <w:szCs w:val="22"/>
          <w:lang w:eastAsia="en-US"/>
        </w:rPr>
        <w:t>Randers d. 11.10.19</w:t>
      </w:r>
    </w:p>
    <w:p w:rsidR="00F37C08" w:rsidRPr="00F37C08" w:rsidRDefault="00F37C08" w:rsidP="00F37C08">
      <w:pPr>
        <w:spacing w:after="160" w:line="259" w:lineRule="auto"/>
        <w:rPr>
          <w:rFonts w:ascii="Calibri" w:eastAsia="Calibri" w:hAnsi="Calibri"/>
          <w:kern w:val="0"/>
          <w:sz w:val="28"/>
          <w:szCs w:val="28"/>
          <w:lang w:eastAsia="en-US"/>
        </w:rPr>
      </w:pPr>
      <w:r w:rsidRPr="00F37C08">
        <w:rPr>
          <w:rFonts w:ascii="Calibri" w:eastAsia="Calibri" w:hAnsi="Calibri"/>
          <w:b/>
          <w:bCs/>
          <w:kern w:val="0"/>
          <w:sz w:val="28"/>
          <w:szCs w:val="28"/>
          <w:lang w:eastAsia="en-US"/>
        </w:rPr>
        <w:t xml:space="preserve">MED UU Randers høringssvar basisbudget 2020-2023 </w:t>
      </w:r>
      <w:r w:rsidRPr="00F37C08">
        <w:rPr>
          <w:rFonts w:ascii="Calibri" w:eastAsia="Calibri" w:hAnsi="Calibri"/>
          <w:b/>
          <w:bCs/>
          <w:kern w:val="0"/>
          <w:sz w:val="28"/>
          <w:szCs w:val="28"/>
          <w:lang w:eastAsia="en-US"/>
        </w:rPr>
        <w:tab/>
      </w:r>
    </w:p>
    <w:p w:rsidR="00F37C08" w:rsidRPr="00F37C08" w:rsidRDefault="00F37C08" w:rsidP="00F37C08">
      <w:pPr>
        <w:spacing w:after="160" w:line="259" w:lineRule="auto"/>
        <w:rPr>
          <w:rFonts w:ascii="Calibri" w:eastAsia="Calibri" w:hAnsi="Calibri"/>
          <w:kern w:val="0"/>
          <w:sz w:val="22"/>
          <w:szCs w:val="22"/>
          <w:lang w:eastAsia="en-US"/>
        </w:rPr>
      </w:pPr>
      <w:r w:rsidRPr="00F37C08">
        <w:rPr>
          <w:rFonts w:ascii="Calibri" w:eastAsia="Calibri" w:hAnsi="Calibri"/>
          <w:b/>
          <w:bCs/>
          <w:kern w:val="0"/>
          <w:sz w:val="22"/>
          <w:szCs w:val="22"/>
          <w:lang w:eastAsia="en-US"/>
        </w:rPr>
        <w:t>UU Randers og basisbudgettet</w:t>
      </w:r>
      <w:r w:rsidRPr="00F37C08">
        <w:rPr>
          <w:rFonts w:ascii="Calibri" w:eastAsia="Calibri" w:hAnsi="Calibri"/>
          <w:kern w:val="0"/>
          <w:sz w:val="22"/>
          <w:szCs w:val="22"/>
          <w:lang w:eastAsia="en-US"/>
        </w:rPr>
        <w:t>:</w:t>
      </w:r>
    </w:p>
    <w:p w:rsidR="00F37C08" w:rsidRPr="00F37C08" w:rsidRDefault="00F37C08" w:rsidP="00F37C08">
      <w:pPr>
        <w:spacing w:after="160" w:line="259" w:lineRule="auto"/>
        <w:rPr>
          <w:rFonts w:ascii="Calibri" w:eastAsia="Calibri" w:hAnsi="Calibri"/>
          <w:kern w:val="0"/>
          <w:sz w:val="22"/>
          <w:szCs w:val="22"/>
          <w:lang w:eastAsia="en-US"/>
        </w:rPr>
      </w:pPr>
      <w:r w:rsidRPr="00F37C08">
        <w:rPr>
          <w:rFonts w:ascii="Calibri" w:eastAsia="Calibri" w:hAnsi="Calibri"/>
          <w:kern w:val="0"/>
          <w:sz w:val="22"/>
          <w:szCs w:val="22"/>
          <w:lang w:eastAsia="en-US"/>
        </w:rPr>
        <w:t xml:space="preserve">UU Randers kan i basisbudgettet 2020-2023 konstatere et fald på ca. kr. 100.000 i </w:t>
      </w:r>
      <w:proofErr w:type="spellStart"/>
      <w:r w:rsidRPr="00F37C08">
        <w:rPr>
          <w:rFonts w:ascii="Calibri" w:eastAsia="Calibri" w:hAnsi="Calibri"/>
          <w:kern w:val="0"/>
          <w:sz w:val="22"/>
          <w:szCs w:val="22"/>
          <w:lang w:eastAsia="en-US"/>
        </w:rPr>
        <w:t>UU’s</w:t>
      </w:r>
      <w:proofErr w:type="spellEnd"/>
      <w:r w:rsidRPr="00F37C08">
        <w:rPr>
          <w:rFonts w:ascii="Calibri" w:eastAsia="Calibri" w:hAnsi="Calibri"/>
          <w:kern w:val="0"/>
          <w:sz w:val="22"/>
          <w:szCs w:val="22"/>
          <w:lang w:eastAsia="en-US"/>
        </w:rPr>
        <w:t xml:space="preserve"> budget for 2020 akkumulerende til kr. 300.000 i basisbudgetperioden som led i 0,5% besparelserne. Samtidig kan der konstateres, at budgettet samlet set øges pga. de opgaver, der følger med lov om kommunal ungeindsats, der er implementeret pr. august 2019. Dette tager MED til efterretning og har nedenstående supplerende bemærkninger. </w:t>
      </w:r>
    </w:p>
    <w:p w:rsidR="00F37C08" w:rsidRPr="00F37C08" w:rsidRDefault="00F37C08" w:rsidP="00F37C08">
      <w:pPr>
        <w:spacing w:after="160" w:line="259" w:lineRule="auto"/>
        <w:rPr>
          <w:rFonts w:ascii="Calibri" w:eastAsia="Calibri" w:hAnsi="Calibri"/>
          <w:kern w:val="0"/>
          <w:sz w:val="22"/>
          <w:szCs w:val="22"/>
          <w:lang w:eastAsia="en-US"/>
        </w:rPr>
      </w:pPr>
      <w:r w:rsidRPr="00F37C08">
        <w:rPr>
          <w:rFonts w:ascii="Calibri" w:eastAsia="Calibri" w:hAnsi="Calibri"/>
          <w:kern w:val="0"/>
          <w:sz w:val="22"/>
          <w:szCs w:val="22"/>
          <w:lang w:eastAsia="en-US"/>
        </w:rPr>
        <w:t xml:space="preserve">Det skal påpeges, at de ekstra midler ikke alene tilføres UU, men for en stor dels vedkommende skal videreføres til hhv. Jobcenterets Uddannelseshus, Jobcenter Erhverv og Efterværnsenheden. Som del af den kommunale ungeindsats indføres en ungekoordinatorfunktion til unge, der har behov for hjælp fra flere kommunale instanser. I udmøntningen af denne funktion er det aftalt, at UU tildeles 50% af de DUT-tildelingen, mens Jobcenteret tildeles 35% og Efterværnsenheden 15%. Det forekommer at være en rimelig fordeling, men MED vil gøre opmærksom på, at funktionen kan være underfinansieret. Dertil kommer at alle tilførte DUT-midler til praktikpladsopsøgende indsats overføres til Jobcenter Erhverv – også en indsats, der vurderes at være underfinansieret. </w:t>
      </w:r>
    </w:p>
    <w:p w:rsidR="00F37C08" w:rsidRPr="00F37C08" w:rsidRDefault="00F37C08" w:rsidP="00F37C08">
      <w:pPr>
        <w:spacing w:after="160" w:line="259" w:lineRule="auto"/>
        <w:rPr>
          <w:rFonts w:ascii="Calibri" w:eastAsia="Calibri" w:hAnsi="Calibri"/>
          <w:kern w:val="0"/>
          <w:sz w:val="22"/>
          <w:szCs w:val="22"/>
          <w:lang w:eastAsia="en-US"/>
        </w:rPr>
      </w:pPr>
      <w:r w:rsidRPr="00F37C08">
        <w:rPr>
          <w:rFonts w:ascii="Calibri" w:eastAsia="Calibri" w:hAnsi="Calibri"/>
          <w:b/>
          <w:bCs/>
          <w:kern w:val="0"/>
          <w:sz w:val="22"/>
          <w:szCs w:val="22"/>
          <w:lang w:eastAsia="en-US"/>
        </w:rPr>
        <w:t>Ændringer i proces vedr. uddannelsesparathedsvurdering</w:t>
      </w:r>
      <w:r w:rsidRPr="00F37C08">
        <w:rPr>
          <w:rFonts w:ascii="Calibri" w:eastAsia="Calibri" w:hAnsi="Calibri"/>
          <w:kern w:val="0"/>
          <w:sz w:val="22"/>
          <w:szCs w:val="22"/>
          <w:lang w:eastAsia="en-US"/>
        </w:rPr>
        <w:t xml:space="preserve">: MED vil gøre opmærksom på, at der pr. oktober 2019 er sket ændringer i uddannelsesparathedsvurderingen, der kan betyde, at flere elever end hidtil vil blive vurderet ikke-uddannelsesparate og dermed har ret til individuel vejledningsindsats. Denne opgave får UU ikke ekstra ressourcer til. </w:t>
      </w:r>
    </w:p>
    <w:p w:rsidR="00F37C08" w:rsidRPr="00F37C08" w:rsidRDefault="00F37C08" w:rsidP="00F37C08">
      <w:pPr>
        <w:spacing w:after="160" w:line="259" w:lineRule="auto"/>
        <w:rPr>
          <w:rFonts w:ascii="Calibri" w:eastAsia="Calibri" w:hAnsi="Calibri"/>
          <w:kern w:val="0"/>
          <w:sz w:val="22"/>
          <w:szCs w:val="22"/>
          <w:lang w:eastAsia="en-US"/>
        </w:rPr>
      </w:pPr>
      <w:r w:rsidRPr="00F37C08">
        <w:rPr>
          <w:rFonts w:ascii="Calibri" w:eastAsia="Calibri" w:hAnsi="Calibri"/>
          <w:b/>
          <w:kern w:val="0"/>
          <w:sz w:val="22"/>
          <w:szCs w:val="22"/>
          <w:lang w:eastAsia="en-US"/>
        </w:rPr>
        <w:t xml:space="preserve">STU-vejledningens arbejdsmængde øges: </w:t>
      </w:r>
      <w:r w:rsidRPr="00F37C08">
        <w:rPr>
          <w:rFonts w:ascii="Calibri" w:eastAsia="Calibri" w:hAnsi="Calibri"/>
          <w:kern w:val="0"/>
          <w:sz w:val="22"/>
          <w:szCs w:val="22"/>
          <w:lang w:eastAsia="en-US"/>
        </w:rPr>
        <w:t xml:space="preserve">UU vejleder indstiller unge, der ønsker STU-visitering. UU har i de seneste år oplevet fordobling i antallet af henvendelser fra unge, der ønsker vejledning i forhold til STU. Flertallet af disse henvendelser ender ikke i indstillinger, men arbejdet med disse unge er særdeles tidskrævende. </w:t>
      </w:r>
    </w:p>
    <w:p w:rsidR="00F37C08" w:rsidRPr="00F37C08" w:rsidRDefault="00F37C08" w:rsidP="00F37C08">
      <w:pPr>
        <w:spacing w:after="160" w:line="259" w:lineRule="auto"/>
        <w:rPr>
          <w:rFonts w:ascii="Calibri" w:eastAsia="Calibri" w:hAnsi="Calibri"/>
          <w:kern w:val="0"/>
          <w:sz w:val="22"/>
          <w:szCs w:val="22"/>
          <w:lang w:eastAsia="en-US"/>
        </w:rPr>
      </w:pPr>
      <w:r w:rsidRPr="00F37C08">
        <w:rPr>
          <w:rFonts w:ascii="Calibri" w:eastAsia="Calibri" w:hAnsi="Calibri"/>
          <w:b/>
          <w:kern w:val="0"/>
          <w:sz w:val="22"/>
          <w:szCs w:val="22"/>
          <w:lang w:eastAsia="en-US"/>
        </w:rPr>
        <w:t xml:space="preserve">FGU: </w:t>
      </w:r>
      <w:r w:rsidRPr="00F37C08">
        <w:rPr>
          <w:rFonts w:ascii="Calibri" w:eastAsia="Calibri" w:hAnsi="Calibri"/>
          <w:kern w:val="0"/>
          <w:sz w:val="22"/>
          <w:szCs w:val="22"/>
          <w:lang w:eastAsia="en-US"/>
        </w:rPr>
        <w:t xml:space="preserve">Økonomien vedr. FGU er placeret ved </w:t>
      </w:r>
      <w:proofErr w:type="spellStart"/>
      <w:r w:rsidRPr="00F37C08">
        <w:rPr>
          <w:rFonts w:ascii="Calibri" w:eastAsia="Calibri" w:hAnsi="Calibri"/>
          <w:kern w:val="0"/>
          <w:sz w:val="22"/>
          <w:szCs w:val="22"/>
          <w:lang w:eastAsia="en-US"/>
        </w:rPr>
        <w:t>UU’s</w:t>
      </w:r>
      <w:proofErr w:type="spellEnd"/>
      <w:r w:rsidRPr="00F37C08">
        <w:rPr>
          <w:rFonts w:ascii="Calibri" w:eastAsia="Calibri" w:hAnsi="Calibri"/>
          <w:kern w:val="0"/>
          <w:sz w:val="22"/>
          <w:szCs w:val="22"/>
          <w:lang w:eastAsia="en-US"/>
        </w:rPr>
        <w:t xml:space="preserve"> ledelse, hvilket af flere årsager kan være særdeles hensigtsmæssigt, især da UU varetager opgaven med at målgruppevurdere unge til FGU. UU har indført en praksis, der skal sikre, at det alene er unge, der kan få fuldt udbytte af tilbuddet, der målgruppevurderes og der følges løbende op på, at antallet af unge på institutionen står i rimeligt forhold til de tildelte midler. </w:t>
      </w:r>
    </w:p>
    <w:p w:rsidR="00F37C08" w:rsidRPr="00F37C08" w:rsidRDefault="00F37C08" w:rsidP="00F37C08">
      <w:pPr>
        <w:spacing w:after="160" w:line="259" w:lineRule="auto"/>
        <w:rPr>
          <w:rFonts w:ascii="Calibri" w:eastAsia="Calibri" w:hAnsi="Calibri"/>
          <w:kern w:val="0"/>
          <w:sz w:val="22"/>
          <w:szCs w:val="22"/>
          <w:lang w:eastAsia="en-US"/>
        </w:rPr>
      </w:pPr>
    </w:p>
    <w:p w:rsidR="00F37C08" w:rsidRPr="00F37C08" w:rsidRDefault="00F37C08" w:rsidP="00F37C08">
      <w:pPr>
        <w:spacing w:after="160" w:line="259" w:lineRule="auto"/>
        <w:rPr>
          <w:rFonts w:ascii="Calibri" w:eastAsia="Calibri" w:hAnsi="Calibri"/>
          <w:kern w:val="0"/>
          <w:sz w:val="22"/>
          <w:szCs w:val="22"/>
          <w:lang w:eastAsia="en-US"/>
        </w:rPr>
      </w:pPr>
      <w:r>
        <w:rPr>
          <w:rFonts w:ascii="Calibri" w:eastAsia="Calibri" w:hAnsi="Calibri"/>
          <w:kern w:val="0"/>
          <w:sz w:val="22"/>
          <w:szCs w:val="22"/>
          <w:lang w:eastAsia="en-US"/>
        </w:rPr>
        <w:t>På vegne af MED</w:t>
      </w:r>
      <w:bookmarkStart w:id="0" w:name="_GoBack"/>
      <w:bookmarkEnd w:id="0"/>
    </w:p>
    <w:p w:rsidR="00F37C08" w:rsidRPr="00F37C08" w:rsidRDefault="00F37C08" w:rsidP="00F37C08">
      <w:pPr>
        <w:spacing w:after="160" w:line="259" w:lineRule="auto"/>
        <w:rPr>
          <w:rFonts w:ascii="Calibri" w:eastAsia="Calibri" w:hAnsi="Calibri"/>
          <w:kern w:val="0"/>
          <w:sz w:val="22"/>
          <w:szCs w:val="22"/>
          <w:lang w:eastAsia="en-US"/>
        </w:rPr>
      </w:pPr>
      <w:r w:rsidRPr="00F37C08">
        <w:rPr>
          <w:rFonts w:ascii="Calibri" w:eastAsia="Calibri" w:hAnsi="Calibri"/>
          <w:kern w:val="0"/>
          <w:sz w:val="22"/>
          <w:szCs w:val="22"/>
          <w:lang w:eastAsia="en-US"/>
        </w:rPr>
        <w:t>Morten Skivild – leder af UU Rander</w:t>
      </w:r>
      <w:r>
        <w:rPr>
          <w:rFonts w:ascii="Calibri" w:eastAsia="Calibri" w:hAnsi="Calibri"/>
          <w:kern w:val="0"/>
          <w:sz w:val="22"/>
          <w:szCs w:val="22"/>
          <w:lang w:eastAsia="en-US"/>
        </w:rPr>
        <w:t xml:space="preserve">s og </w:t>
      </w:r>
      <w:r w:rsidRPr="00F37C08">
        <w:rPr>
          <w:rFonts w:ascii="Calibri" w:eastAsia="Calibri" w:hAnsi="Calibri"/>
          <w:kern w:val="0"/>
          <w:sz w:val="22"/>
          <w:szCs w:val="22"/>
          <w:lang w:eastAsia="en-US"/>
        </w:rPr>
        <w:t>Mads Møller – TR og næstformand i MED</w:t>
      </w:r>
    </w:p>
    <w:p w:rsidR="003F4639" w:rsidRPr="007F3ABF" w:rsidRDefault="003F4639" w:rsidP="003F4639"/>
    <w:p w:rsidR="003F4639" w:rsidRPr="007F3ABF" w:rsidRDefault="003F4639" w:rsidP="003F4639"/>
    <w:p w:rsidR="003F4639" w:rsidRPr="007F3ABF" w:rsidRDefault="003F4639" w:rsidP="003F4639"/>
    <w:p w:rsidR="003F4639" w:rsidRPr="007F3ABF" w:rsidRDefault="003F4639" w:rsidP="003F4639"/>
    <w:p w:rsidR="003F4639" w:rsidRPr="007F3ABF" w:rsidRDefault="003F4639" w:rsidP="007F3ABF">
      <w:pPr>
        <w:tabs>
          <w:tab w:val="left" w:pos="6118"/>
        </w:tabs>
      </w:pPr>
    </w:p>
    <w:p w:rsidR="003F4639" w:rsidRPr="007F3ABF" w:rsidRDefault="003F4639" w:rsidP="003F4639"/>
    <w:sectPr w:rsidR="003F4639" w:rsidRPr="007F3ABF" w:rsidSect="0032697C">
      <w:headerReference w:type="default" r:id="rId7"/>
      <w:footerReference w:type="default" r:id="rId8"/>
      <w:pgSz w:w="11906" w:h="16838" w:code="9"/>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039" w:rsidRDefault="00202039" w:rsidP="00F309FD">
      <w:r>
        <w:separator/>
      </w:r>
    </w:p>
  </w:endnote>
  <w:endnote w:type="continuationSeparator" w:id="0">
    <w:p w:rsidR="00202039" w:rsidRDefault="00202039" w:rsidP="00F3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6DD" w:rsidRPr="007F3ABF" w:rsidRDefault="00FF4B5D" w:rsidP="0039676B">
    <w:pPr>
      <w:pStyle w:val="Sidefod"/>
      <w:rPr>
        <w:noProof/>
        <w:lang w:val="en-US" w:eastAsia="da-DK"/>
      </w:rPr>
    </w:pPr>
    <w:r w:rsidRPr="007F3ABF">
      <w:rPr>
        <w:sz w:val="20"/>
        <w:szCs w:val="20"/>
        <w:lang w:val="en-US"/>
      </w:rPr>
      <w:t xml:space="preserve">UUR </w:t>
    </w:r>
    <w:proofErr w:type="spellStart"/>
    <w:r w:rsidRPr="007F3ABF">
      <w:rPr>
        <w:sz w:val="20"/>
        <w:szCs w:val="20"/>
        <w:lang w:val="en-US"/>
      </w:rPr>
      <w:t>Sct</w:t>
    </w:r>
    <w:proofErr w:type="spellEnd"/>
    <w:r w:rsidRPr="007F3ABF">
      <w:rPr>
        <w:sz w:val="20"/>
        <w:szCs w:val="20"/>
        <w:lang w:val="en-US"/>
      </w:rPr>
      <w:t xml:space="preserve">. </w:t>
    </w:r>
    <w:proofErr w:type="spellStart"/>
    <w:r w:rsidRPr="007F3ABF">
      <w:rPr>
        <w:sz w:val="20"/>
        <w:szCs w:val="20"/>
        <w:lang w:val="en-US"/>
      </w:rPr>
      <w:t>Peders</w:t>
    </w:r>
    <w:proofErr w:type="spellEnd"/>
    <w:r w:rsidRPr="007F3ABF">
      <w:rPr>
        <w:sz w:val="20"/>
        <w:szCs w:val="20"/>
        <w:lang w:val="en-US"/>
      </w:rPr>
      <w:t xml:space="preserve"> </w:t>
    </w:r>
    <w:proofErr w:type="spellStart"/>
    <w:r w:rsidRPr="007F3ABF">
      <w:rPr>
        <w:sz w:val="20"/>
        <w:szCs w:val="20"/>
        <w:lang w:val="en-US"/>
      </w:rPr>
      <w:t>Gade</w:t>
    </w:r>
    <w:proofErr w:type="spellEnd"/>
    <w:r w:rsidRPr="007F3ABF">
      <w:rPr>
        <w:sz w:val="20"/>
        <w:szCs w:val="20"/>
        <w:lang w:val="en-US"/>
      </w:rPr>
      <w:t xml:space="preserve"> 25</w:t>
    </w:r>
    <w:r w:rsidR="0039676B" w:rsidRPr="007F3ABF">
      <w:rPr>
        <w:sz w:val="20"/>
        <w:szCs w:val="20"/>
        <w:lang w:val="en-US"/>
      </w:rPr>
      <w:t xml:space="preserve">, 8900 Randers C, </w:t>
    </w:r>
    <w:proofErr w:type="spellStart"/>
    <w:proofErr w:type="gramStart"/>
    <w:r w:rsidR="0039676B" w:rsidRPr="007F3ABF">
      <w:rPr>
        <w:sz w:val="20"/>
        <w:szCs w:val="20"/>
        <w:lang w:val="en-US"/>
      </w:rPr>
      <w:t>Tlf</w:t>
    </w:r>
    <w:proofErr w:type="spellEnd"/>
    <w:r w:rsidR="0039676B" w:rsidRPr="007F3ABF">
      <w:rPr>
        <w:sz w:val="20"/>
        <w:szCs w:val="20"/>
        <w:lang w:val="en-US"/>
      </w:rPr>
      <w:t>.:</w:t>
    </w:r>
    <w:proofErr w:type="gramEnd"/>
    <w:r w:rsidR="0039676B" w:rsidRPr="007F3ABF">
      <w:rPr>
        <w:sz w:val="20"/>
        <w:szCs w:val="20"/>
        <w:lang w:val="en-US"/>
      </w:rPr>
      <w:t xml:space="preserve"> 89 15 47 47</w:t>
    </w:r>
    <w:r w:rsidR="0039676B" w:rsidRPr="007F3ABF">
      <w:rPr>
        <w:bCs/>
        <w:lang w:val="en-US"/>
      </w:rPr>
      <w:t xml:space="preserve">                  </w:t>
    </w:r>
    <w:r w:rsidR="004976DD" w:rsidRPr="007F3ABF">
      <w:rPr>
        <w:bCs/>
        <w:lang w:val="en-US"/>
      </w:rPr>
      <w:t xml:space="preserve">                                        </w:t>
    </w:r>
    <w:r w:rsidR="0039676B" w:rsidRPr="007F3ABF">
      <w:rPr>
        <w:bCs/>
        <w:lang w:val="en-US"/>
      </w:rPr>
      <w:t xml:space="preserve"> </w:t>
    </w:r>
    <w:r w:rsidR="004976DD" w:rsidRPr="0036609B">
      <w:rPr>
        <w:noProof/>
        <w:lang w:eastAsia="da-DK"/>
      </w:rPr>
      <w:drawing>
        <wp:inline distT="0" distB="0" distL="0" distR="0" wp14:anchorId="0B9EA5F5" wp14:editId="605166A4">
          <wp:extent cx="1201420" cy="525780"/>
          <wp:effectExtent l="0" t="0" r="0" b="7620"/>
          <wp:docPr id="3" name="Billede 3" descr="C:\Users\dq14543\AppData\Local\Microsoft\Windows\Temporary Internet Files\Content.Outlook\OOH7ZJKU\sort-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q14543\AppData\Local\Microsoft\Windows\Temporary Internet Files\Content.Outlook\OOH7ZJKU\sort-rgb-0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45" t="-28224" r="2192" b="39496"/>
                  <a:stretch/>
                </pic:blipFill>
                <pic:spPr bwMode="auto">
                  <a:xfrm>
                    <a:off x="0" y="0"/>
                    <a:ext cx="1361584" cy="595873"/>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039" w:rsidRDefault="00202039" w:rsidP="00F309FD">
      <w:r>
        <w:separator/>
      </w:r>
    </w:p>
  </w:footnote>
  <w:footnote w:type="continuationSeparator" w:id="0">
    <w:p w:rsidR="00202039" w:rsidRDefault="00202039" w:rsidP="00F30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9FD" w:rsidRDefault="004E1A7C" w:rsidP="004E1A7C">
    <w:pPr>
      <w:pStyle w:val="Sidehoved"/>
      <w:tabs>
        <w:tab w:val="clear" w:pos="4819"/>
        <w:tab w:val="clear" w:pos="9638"/>
        <w:tab w:val="left" w:pos="7056"/>
      </w:tabs>
    </w:pPr>
    <w:r w:rsidRPr="00474518">
      <w:rPr>
        <w:rFonts w:ascii="Verdana" w:hAnsi="Verdana"/>
        <w:noProof/>
        <w:lang w:eastAsia="da-DK"/>
      </w:rPr>
      <w:drawing>
        <wp:inline distT="0" distB="0" distL="0" distR="0" wp14:anchorId="1106F9D7" wp14:editId="53AB5531">
          <wp:extent cx="1873202" cy="529456"/>
          <wp:effectExtent l="0" t="0" r="0" b="4445"/>
          <wp:docPr id="4" name="Billede 4" descr="F:\Fælles dokumenter\Personale\Designmanualer\Logoer\UU logoer\UUR_samlet_fa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ælles dokumenter\Personale\Designmanualer\Logoer\UU logoer\UUR_samlet_far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0450" cy="539984"/>
                  </a:xfrm>
                  <a:prstGeom prst="rect">
                    <a:avLst/>
                  </a:prstGeom>
                  <a:noFill/>
                  <a:ln>
                    <a:noFill/>
                  </a:ln>
                </pic:spPr>
              </pic:pic>
            </a:graphicData>
          </a:graphic>
        </wp:inline>
      </w:drawing>
    </w:r>
    <w:r w:rsidR="00F309FD">
      <w:t xml:space="preserve">     </w:t>
    </w:r>
    <w:r>
      <w:tab/>
      <w:t xml:space="preserve">    </w:t>
    </w:r>
    <w:r w:rsidR="006E6B05">
      <w:t xml:space="preserve">                    </w:t>
    </w:r>
    <w:r>
      <w:t xml:space="preserve">      </w:t>
    </w:r>
    <w:r w:rsidR="006E6B05">
      <w:rPr>
        <w:noProof/>
        <w:lang w:eastAsia="da-DK"/>
      </w:rPr>
      <w:drawing>
        <wp:inline distT="0" distB="0" distL="0" distR="0" wp14:anchorId="7E6B48F1" wp14:editId="74DA3424">
          <wp:extent cx="664683" cy="396981"/>
          <wp:effectExtent l="0" t="0" r="2540" b="317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683" cy="396981"/>
                  </a:xfrm>
                  <a:prstGeom prst="rect">
                    <a:avLst/>
                  </a:prstGeom>
                  <a:noFill/>
                </pic:spPr>
              </pic:pic>
            </a:graphicData>
          </a:graphic>
        </wp:inline>
      </w:drawing>
    </w:r>
  </w:p>
  <w:tbl>
    <w:tblPr>
      <w:tblpPr w:leftFromText="141" w:rightFromText="141" w:vertAnchor="text" w:tblpY="75"/>
      <w:tblW w:w="10510" w:type="dxa"/>
      <w:tblLayout w:type="fixed"/>
      <w:tblCellMar>
        <w:left w:w="70" w:type="dxa"/>
        <w:right w:w="70" w:type="dxa"/>
      </w:tblCellMar>
      <w:tblLook w:val="0000" w:firstRow="0" w:lastRow="0" w:firstColumn="0" w:lastColumn="0" w:noHBand="0" w:noVBand="0"/>
    </w:tblPr>
    <w:tblGrid>
      <w:gridCol w:w="8575"/>
      <w:gridCol w:w="1935"/>
    </w:tblGrid>
    <w:tr w:rsidR="00F309FD" w:rsidRPr="00AA2353" w:rsidTr="00474518">
      <w:trPr>
        <w:trHeight w:hRule="exact" w:val="142"/>
      </w:trPr>
      <w:tc>
        <w:tcPr>
          <w:tcW w:w="8575" w:type="dxa"/>
        </w:tcPr>
        <w:p w:rsidR="00F309FD" w:rsidRPr="00AE737E" w:rsidRDefault="00F309FD" w:rsidP="00D45923">
          <w:pPr>
            <w:pStyle w:val="Brevtekst"/>
            <w:rPr>
              <w:rFonts w:ascii="Verdana" w:hAnsi="Verdana"/>
            </w:rPr>
          </w:pPr>
        </w:p>
      </w:tc>
      <w:tc>
        <w:tcPr>
          <w:tcW w:w="1935" w:type="dxa"/>
          <w:vMerge w:val="restart"/>
          <w:tcMar>
            <w:left w:w="0" w:type="dxa"/>
            <w:right w:w="57" w:type="dxa"/>
          </w:tcMar>
        </w:tcPr>
        <w:p w:rsidR="00F309FD" w:rsidRDefault="00F309FD" w:rsidP="00D45923">
          <w:pPr>
            <w:pStyle w:val="InfoBar"/>
            <w:tabs>
              <w:tab w:val="right" w:pos="2424"/>
            </w:tabs>
          </w:pPr>
          <w:bookmarkStart w:id="1" w:name="InfoBar"/>
          <w:bookmarkEnd w:id="1"/>
        </w:p>
        <w:p w:rsidR="00F309FD" w:rsidRDefault="00F309FD" w:rsidP="00D45923">
          <w:pPr>
            <w:pStyle w:val="InfoBar"/>
            <w:tabs>
              <w:tab w:val="right" w:pos="2424"/>
            </w:tabs>
          </w:pPr>
        </w:p>
        <w:p w:rsidR="00F309FD" w:rsidRDefault="00F309FD" w:rsidP="00D45923">
          <w:pPr>
            <w:pStyle w:val="InfoBar"/>
            <w:tabs>
              <w:tab w:val="right" w:pos="2424"/>
            </w:tabs>
          </w:pPr>
        </w:p>
        <w:p w:rsidR="00F309FD" w:rsidRDefault="00F309FD" w:rsidP="00D45923">
          <w:pPr>
            <w:pStyle w:val="InfoBar"/>
            <w:tabs>
              <w:tab w:val="right" w:pos="2424"/>
            </w:tabs>
          </w:pPr>
        </w:p>
        <w:p w:rsidR="00F309FD" w:rsidRDefault="00F309FD" w:rsidP="00D45923">
          <w:pPr>
            <w:pStyle w:val="InfoBar"/>
            <w:tabs>
              <w:tab w:val="right" w:pos="2424"/>
            </w:tabs>
          </w:pPr>
        </w:p>
        <w:p w:rsidR="00F309FD" w:rsidRDefault="00F309FD" w:rsidP="00D45923">
          <w:pPr>
            <w:pStyle w:val="InfoBar"/>
            <w:tabs>
              <w:tab w:val="right" w:pos="2424"/>
            </w:tabs>
          </w:pPr>
        </w:p>
        <w:p w:rsidR="00F309FD" w:rsidRDefault="00F309FD" w:rsidP="00D45923">
          <w:pPr>
            <w:pStyle w:val="InfoBar"/>
            <w:tabs>
              <w:tab w:val="right" w:pos="2424"/>
            </w:tabs>
          </w:pPr>
        </w:p>
        <w:p w:rsidR="00F309FD" w:rsidRPr="00AE737E" w:rsidRDefault="00F309FD" w:rsidP="00D45923">
          <w:pPr>
            <w:pStyle w:val="InfoBar"/>
            <w:tabs>
              <w:tab w:val="right" w:pos="2424"/>
            </w:tabs>
            <w:rPr>
              <w:rFonts w:ascii="Verdana" w:hAnsi="Verdana"/>
              <w:color w:val="auto"/>
            </w:rPr>
          </w:pPr>
        </w:p>
      </w:tc>
    </w:tr>
    <w:tr w:rsidR="00F309FD" w:rsidTr="00474518">
      <w:trPr>
        <w:trHeight w:hRule="exact" w:val="68"/>
      </w:trPr>
      <w:tc>
        <w:tcPr>
          <w:tcW w:w="8575" w:type="dxa"/>
          <w:tcBorders>
            <w:bottom w:val="nil"/>
          </w:tcBorders>
        </w:tcPr>
        <w:p w:rsidR="00F309FD" w:rsidRDefault="00F309FD" w:rsidP="00D45923">
          <w:pPr>
            <w:pStyle w:val="Brevtekst"/>
          </w:pPr>
        </w:p>
      </w:tc>
      <w:tc>
        <w:tcPr>
          <w:tcW w:w="1935" w:type="dxa"/>
          <w:vMerge/>
          <w:tcBorders>
            <w:bottom w:val="nil"/>
          </w:tcBorders>
        </w:tcPr>
        <w:p w:rsidR="00F309FD" w:rsidRDefault="00F309FD" w:rsidP="00D45923">
          <w:pPr>
            <w:pStyle w:val="Brevtekst"/>
          </w:pPr>
        </w:p>
      </w:tc>
    </w:tr>
  </w:tbl>
  <w:p w:rsidR="00F309FD" w:rsidRDefault="00F309F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35E0C"/>
    <w:multiLevelType w:val="hybridMultilevel"/>
    <w:tmpl w:val="78EEE374"/>
    <w:lvl w:ilvl="0" w:tplc="D8B8C37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FD"/>
    <w:rsid w:val="00065E62"/>
    <w:rsid w:val="000C54C0"/>
    <w:rsid w:val="001D4768"/>
    <w:rsid w:val="001E01B8"/>
    <w:rsid w:val="001E13EA"/>
    <w:rsid w:val="00202039"/>
    <w:rsid w:val="002D40B2"/>
    <w:rsid w:val="0032697C"/>
    <w:rsid w:val="003938D7"/>
    <w:rsid w:val="0039676B"/>
    <w:rsid w:val="003F4639"/>
    <w:rsid w:val="00435AD7"/>
    <w:rsid w:val="00474518"/>
    <w:rsid w:val="004976DD"/>
    <w:rsid w:val="004E1A7C"/>
    <w:rsid w:val="006E6B05"/>
    <w:rsid w:val="006F5719"/>
    <w:rsid w:val="0072088A"/>
    <w:rsid w:val="0078095B"/>
    <w:rsid w:val="007914FF"/>
    <w:rsid w:val="007A50CB"/>
    <w:rsid w:val="007D36F3"/>
    <w:rsid w:val="007F151C"/>
    <w:rsid w:val="007F3ABF"/>
    <w:rsid w:val="008001E4"/>
    <w:rsid w:val="00801757"/>
    <w:rsid w:val="00806354"/>
    <w:rsid w:val="00957DE1"/>
    <w:rsid w:val="00975CF3"/>
    <w:rsid w:val="0099686F"/>
    <w:rsid w:val="00A63E36"/>
    <w:rsid w:val="00A84F0D"/>
    <w:rsid w:val="00AE5549"/>
    <w:rsid w:val="00B06F2D"/>
    <w:rsid w:val="00B46A51"/>
    <w:rsid w:val="00B62B56"/>
    <w:rsid w:val="00CA3024"/>
    <w:rsid w:val="00CE1F8D"/>
    <w:rsid w:val="00D74E76"/>
    <w:rsid w:val="00D75A44"/>
    <w:rsid w:val="00DE23C2"/>
    <w:rsid w:val="00E1760B"/>
    <w:rsid w:val="00E83463"/>
    <w:rsid w:val="00E86AD5"/>
    <w:rsid w:val="00F062E2"/>
    <w:rsid w:val="00F309FD"/>
    <w:rsid w:val="00F37C08"/>
    <w:rsid w:val="00F56104"/>
    <w:rsid w:val="00FE310D"/>
    <w:rsid w:val="00FF4B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FCF0158-FB99-45C5-A078-163BB2C4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9FD"/>
    <w:pPr>
      <w:spacing w:after="0" w:line="240" w:lineRule="auto"/>
    </w:pPr>
    <w:rPr>
      <w:rFonts w:ascii="Arial" w:eastAsia="Times New Roman" w:hAnsi="Arial" w:cs="Times New Roman"/>
      <w:kern w:val="28"/>
      <w:sz w:val="20"/>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309FD"/>
    <w:pPr>
      <w:tabs>
        <w:tab w:val="center" w:pos="4819"/>
        <w:tab w:val="right" w:pos="9638"/>
      </w:tabs>
    </w:pPr>
    <w:rPr>
      <w:rFonts w:asciiTheme="minorHAnsi" w:eastAsiaTheme="minorHAnsi" w:hAnsiTheme="minorHAnsi" w:cstheme="minorBidi"/>
      <w:kern w:val="0"/>
      <w:sz w:val="22"/>
      <w:szCs w:val="22"/>
      <w:lang w:eastAsia="en-US"/>
    </w:rPr>
  </w:style>
  <w:style w:type="character" w:customStyle="1" w:styleId="SidehovedTegn">
    <w:name w:val="Sidehoved Tegn"/>
    <w:basedOn w:val="Standardskrifttypeiafsnit"/>
    <w:link w:val="Sidehoved"/>
    <w:uiPriority w:val="99"/>
    <w:rsid w:val="00F309FD"/>
  </w:style>
  <w:style w:type="paragraph" w:styleId="Sidefod">
    <w:name w:val="footer"/>
    <w:basedOn w:val="Normal"/>
    <w:link w:val="SidefodTegn"/>
    <w:uiPriority w:val="99"/>
    <w:unhideWhenUsed/>
    <w:rsid w:val="00F309FD"/>
    <w:pPr>
      <w:tabs>
        <w:tab w:val="center" w:pos="4819"/>
        <w:tab w:val="right" w:pos="9638"/>
      </w:tabs>
    </w:pPr>
    <w:rPr>
      <w:rFonts w:asciiTheme="minorHAnsi" w:eastAsiaTheme="minorHAnsi" w:hAnsiTheme="minorHAnsi" w:cstheme="minorBidi"/>
      <w:kern w:val="0"/>
      <w:sz w:val="22"/>
      <w:szCs w:val="22"/>
      <w:lang w:eastAsia="en-US"/>
    </w:rPr>
  </w:style>
  <w:style w:type="character" w:customStyle="1" w:styleId="SidefodTegn">
    <w:name w:val="Sidefod Tegn"/>
    <w:basedOn w:val="Standardskrifttypeiafsnit"/>
    <w:link w:val="Sidefod"/>
    <w:uiPriority w:val="99"/>
    <w:rsid w:val="00F309FD"/>
  </w:style>
  <w:style w:type="paragraph" w:styleId="Markeringsbobletekst">
    <w:name w:val="Balloon Text"/>
    <w:basedOn w:val="Normal"/>
    <w:link w:val="MarkeringsbobletekstTegn"/>
    <w:uiPriority w:val="99"/>
    <w:semiHidden/>
    <w:unhideWhenUsed/>
    <w:rsid w:val="00F309FD"/>
    <w:rPr>
      <w:rFonts w:ascii="Tahoma" w:eastAsiaTheme="minorHAnsi" w:hAnsi="Tahoma" w:cs="Tahoma"/>
      <w:kern w:val="0"/>
      <w:sz w:val="16"/>
      <w:szCs w:val="16"/>
      <w:lang w:eastAsia="en-US"/>
    </w:rPr>
  </w:style>
  <w:style w:type="character" w:customStyle="1" w:styleId="MarkeringsbobletekstTegn">
    <w:name w:val="Markeringsbobletekst Tegn"/>
    <w:basedOn w:val="Standardskrifttypeiafsnit"/>
    <w:link w:val="Markeringsbobletekst"/>
    <w:uiPriority w:val="99"/>
    <w:semiHidden/>
    <w:rsid w:val="00F309FD"/>
    <w:rPr>
      <w:rFonts w:ascii="Tahoma" w:hAnsi="Tahoma" w:cs="Tahoma"/>
      <w:sz w:val="16"/>
      <w:szCs w:val="16"/>
    </w:rPr>
  </w:style>
  <w:style w:type="paragraph" w:customStyle="1" w:styleId="Brevtekst">
    <w:name w:val="Brevtekst"/>
    <w:basedOn w:val="Normal"/>
    <w:rsid w:val="00F309FD"/>
    <w:pPr>
      <w:spacing w:line="280" w:lineRule="exact"/>
    </w:pPr>
    <w:rPr>
      <w:rFonts w:cs="Arial"/>
      <w:bCs/>
      <w:szCs w:val="20"/>
    </w:rPr>
  </w:style>
  <w:style w:type="paragraph" w:customStyle="1" w:styleId="InfoBar">
    <w:name w:val="InfoBar"/>
    <w:basedOn w:val="Brevtekst"/>
    <w:rsid w:val="00F309FD"/>
    <w:pPr>
      <w:spacing w:line="180" w:lineRule="exact"/>
    </w:pPr>
    <w:rPr>
      <w:color w:val="808080"/>
      <w:kern w:val="20"/>
      <w:sz w:val="16"/>
    </w:rPr>
  </w:style>
  <w:style w:type="character" w:styleId="Hyperlink">
    <w:name w:val="Hyperlink"/>
    <w:basedOn w:val="Standardskrifttypeiafsnit"/>
    <w:uiPriority w:val="99"/>
    <w:unhideWhenUsed/>
    <w:rsid w:val="00FE31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34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2135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Holm</dc:creator>
  <cp:lastModifiedBy>Mads Møller</cp:lastModifiedBy>
  <cp:revision>2</cp:revision>
  <cp:lastPrinted>2019-08-13T06:51:00Z</cp:lastPrinted>
  <dcterms:created xsi:type="dcterms:W3CDTF">2019-10-14T09:50:00Z</dcterms:created>
  <dcterms:modified xsi:type="dcterms:W3CDTF">2019-10-14T09:50:00Z</dcterms:modified>
</cp:coreProperties>
</file>