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BC2" w:rsidRPr="00173A8F" w:rsidRDefault="00173A8F" w:rsidP="00173A8F">
      <w:pPr>
        <w:jc w:val="center"/>
        <w:rPr>
          <w:b/>
          <w:bCs/>
          <w:sz w:val="28"/>
          <w:szCs w:val="28"/>
        </w:rPr>
      </w:pPr>
      <w:r w:rsidRPr="00173A8F">
        <w:rPr>
          <w:b/>
          <w:bCs/>
          <w:sz w:val="28"/>
          <w:szCs w:val="28"/>
        </w:rPr>
        <w:t xml:space="preserve">Høringssvar omhandlende forslag til ny ældreboligplan  </w:t>
      </w:r>
      <w:r>
        <w:rPr>
          <w:b/>
          <w:bCs/>
          <w:sz w:val="28"/>
          <w:szCs w:val="28"/>
        </w:rPr>
        <w:br/>
        <w:t>B</w:t>
      </w:r>
      <w:r w:rsidRPr="00173A8F">
        <w:rPr>
          <w:b/>
          <w:bCs/>
          <w:sz w:val="28"/>
          <w:szCs w:val="28"/>
        </w:rPr>
        <w:t>evarelse af Spentrup Ældrecenter</w:t>
      </w:r>
    </w:p>
    <w:p w:rsidR="00173A8F" w:rsidRDefault="00173A8F">
      <w:r>
        <w:t>På vegne af ”Borgergruppe mod nedlæggelse af Spentrup Ældrecenter” samt en række centrale foreninger og institutioner i Spentrup fremsendes følgende høringssvar.</w:t>
      </w:r>
    </w:p>
    <w:p w:rsidR="00254906" w:rsidRDefault="00173A8F">
      <w:r>
        <w:t>Spentrup Ældrecenter er i dag en af flere grundpiller</w:t>
      </w:r>
      <w:r w:rsidR="003D529E">
        <w:t>,</w:t>
      </w:r>
      <w:r>
        <w:t xml:space="preserve"> som Spentrup By hviler på i lighed med skole, kirke, idrætsforening og dagligvarebutikker. Spentrup Ældrecenter er ud over at være bosted for en række borgere desuden samlingssted for en række aktiviteter </w:t>
      </w:r>
      <w:r w:rsidR="00254906">
        <w:t xml:space="preserve">for lokalområdet </w:t>
      </w:r>
      <w:r>
        <w:t>såsom suppeaft</w:t>
      </w:r>
      <w:r w:rsidR="00760F37">
        <w:t>e</w:t>
      </w:r>
      <w:r>
        <w:t>ner, krolf</w:t>
      </w:r>
      <w:r w:rsidR="00823040">
        <w:t>,</w:t>
      </w:r>
      <w:r w:rsidR="00760F37">
        <w:t xml:space="preserve"> petanque,</w:t>
      </w:r>
      <w:r w:rsidR="00823040">
        <w:t xml:space="preserve"> dagplejebesøg</w:t>
      </w:r>
      <w:r w:rsidR="00254906">
        <w:t>, gymnastik, fysioterapi, kunstværksted, bridge, strikkeklub, stavgang, træværksted</w:t>
      </w:r>
      <w:r w:rsidR="003D529E">
        <w:t xml:space="preserve"> og</w:t>
      </w:r>
      <w:r w:rsidR="00254906">
        <w:t xml:space="preserve"> samlingssted for pensionistforening</w:t>
      </w:r>
      <w:r w:rsidR="00760F37">
        <w:t xml:space="preserve"> og aktivitetsudvalg</w:t>
      </w:r>
      <w:r w:rsidR="00254906">
        <w:t>.</w:t>
      </w:r>
    </w:p>
    <w:p w:rsidR="00823040" w:rsidRDefault="00823040">
      <w:r>
        <w:t xml:space="preserve">Spentrup er den 3. største by i Randers Kommune udenfor Randers By og desuden udpeget som en af kun 3 centerbyer i kommunen, hvilket må regnes som et naturligt sted for fremtidig udvikling og bosætning. Spentrup har et stort opland og er derfor et sted, som sikrer en række ældre mulighed for at blive boende tæt på </w:t>
      </w:r>
      <w:r w:rsidR="003D529E">
        <w:t xml:space="preserve">Deres </w:t>
      </w:r>
      <w:r>
        <w:t xml:space="preserve">pårørende og netværk. </w:t>
      </w:r>
      <w:r w:rsidRPr="00823040">
        <w:rPr>
          <w:i/>
          <w:iCs/>
        </w:rPr>
        <w:t>”Oplevelsen af ensomhed stiger med alderen og er størst blandt de ældste ældre. Med et stigende antal ældre i befolkningen og længere levetid er ensomhed og svage sociale relationer blandt ældre et vigtigt fokusområde for et godt helbred og god trivsel blandt ældre.”</w:t>
      </w:r>
      <w:r w:rsidR="005341BA">
        <w:rPr>
          <w:rStyle w:val="Fodnotehenvisning"/>
          <w:i/>
          <w:iCs/>
        </w:rPr>
        <w:footnoteReference w:id="1"/>
      </w:r>
      <w:r w:rsidR="005341BA">
        <w:t xml:space="preserve"> Det er derfor væsentligt at sikre, at flest mulige ældre kan blive i </w:t>
      </w:r>
      <w:r w:rsidR="00760F37">
        <w:t>d</w:t>
      </w:r>
      <w:r w:rsidR="005341BA">
        <w:t>eres nærmiljø med tæt kontakt til eksisterende relationer.</w:t>
      </w:r>
    </w:p>
    <w:p w:rsidR="005341BA" w:rsidRDefault="005341BA">
      <w:r>
        <w:t xml:space="preserve">Spentrup </w:t>
      </w:r>
      <w:r w:rsidR="00760F37">
        <w:t>b</w:t>
      </w:r>
      <w:r>
        <w:t xml:space="preserve">y </w:t>
      </w:r>
      <w:r w:rsidR="00760F37">
        <w:t xml:space="preserve">har </w:t>
      </w:r>
      <w:r>
        <w:t>demografisk udviklet sig de seneste 10 år med en stigende gennemsnitsalder – se bilag 1</w:t>
      </w:r>
      <w:r w:rsidR="00760F37">
        <w:t>.</w:t>
      </w:r>
      <w:r>
        <w:t xml:space="preserve"> </w:t>
      </w:r>
      <w:r w:rsidR="00760F37">
        <w:t>Heraf</w:t>
      </w:r>
      <w:r>
        <w:t xml:space="preserve"> fremgår, at der er væsentlig flere ældre i </w:t>
      </w:r>
      <w:r w:rsidR="00C654BE">
        <w:t>gruppen 70 – 80 år i 2018 set i forhold til 2008, en gruppe som forventeligt vil medføre et plejebehov i den nærmeste fremtid; behovet for plejeboliger bliver derfor næppe mindre fremadrettet.</w:t>
      </w:r>
    </w:p>
    <w:p w:rsidR="00C654BE" w:rsidRDefault="00C654BE">
      <w:r w:rsidRPr="00C654BE">
        <w:t>Spentrup Ældrecenter har et tæt samarbejde med Spentrup Læge</w:t>
      </w:r>
      <w:r w:rsidR="00760F37">
        <w:t>praksis</w:t>
      </w:r>
      <w:r w:rsidRPr="00C654BE">
        <w:t xml:space="preserve"> </w:t>
      </w:r>
      <w:r w:rsidR="00760F37">
        <w:t>med hensyn til</w:t>
      </w:r>
      <w:r w:rsidRPr="00C654BE">
        <w:t xml:space="preserve"> lægebehandling af centerets beboere</w:t>
      </w:r>
      <w:r w:rsidR="00AB4829">
        <w:t>.</w:t>
      </w:r>
      <w:r w:rsidRPr="00C654BE">
        <w:t xml:space="preserve"> </w:t>
      </w:r>
      <w:r w:rsidR="00AB4829">
        <w:t>N</w:t>
      </w:r>
      <w:r w:rsidRPr="00C654BE">
        <w:t xml:space="preserve">ærheden betyder, at lægerne kender beboerne på centeret og personalet, hvilket formentlig betyder en hurtig og bedre behandling ved sygdom mv. og er med til at give tryghed. Et tæt samarbejde betyder </w:t>
      </w:r>
      <w:r w:rsidR="00AB4829">
        <w:t>endvidere,</w:t>
      </w:r>
      <w:r w:rsidRPr="00C654BE">
        <w:t xml:space="preserve"> at indlæggelser kan forebygges både til gavn for de ældre</w:t>
      </w:r>
      <w:r w:rsidR="00760F37">
        <w:t>,</w:t>
      </w:r>
      <w:r w:rsidRPr="00C654BE">
        <w:t xml:space="preserve"> men også</w:t>
      </w:r>
      <w:r w:rsidR="00760F37">
        <w:t xml:space="preserve"> til gavn</w:t>
      </w:r>
      <w:r w:rsidRPr="00C654BE">
        <w:t xml:space="preserve"> kommunen</w:t>
      </w:r>
      <w:r w:rsidR="00760F37">
        <w:t>s</w:t>
      </w:r>
      <w:r w:rsidRPr="00C654BE">
        <w:t xml:space="preserve"> økonomi. </w:t>
      </w:r>
      <w:r w:rsidR="00760F37">
        <w:t>Der</w:t>
      </w:r>
      <w:r w:rsidRPr="00C654BE">
        <w:t xml:space="preserve"> er </w:t>
      </w:r>
      <w:r w:rsidR="00760F37">
        <w:t>desuden</w:t>
      </w:r>
      <w:r w:rsidRPr="00C654BE">
        <w:t xml:space="preserve"> </w:t>
      </w:r>
      <w:r>
        <w:t>et tæt</w:t>
      </w:r>
      <w:r w:rsidRPr="00C654BE">
        <w:t xml:space="preserve"> samarbejde med byens tandlægehu</w:t>
      </w:r>
      <w:r>
        <w:t>s.</w:t>
      </w:r>
    </w:p>
    <w:p w:rsidR="00C654BE" w:rsidRDefault="00C654BE">
      <w:r w:rsidRPr="00C654BE">
        <w:t>Bygningerne</w:t>
      </w:r>
      <w:r w:rsidR="003D529E">
        <w:t>,</w:t>
      </w:r>
      <w:r w:rsidRPr="00C654BE">
        <w:t xml:space="preserve"> </w:t>
      </w:r>
      <w:r w:rsidR="003D529E">
        <w:t xml:space="preserve">som Spentrup Ældrecenter er placeret i, </w:t>
      </w:r>
      <w:r w:rsidRPr="00C654BE">
        <w:t xml:space="preserve">er </w:t>
      </w:r>
      <w:r w:rsidR="00760F37">
        <w:t>i</w:t>
      </w:r>
      <w:r w:rsidR="00254906">
        <w:t xml:space="preserve"> god stand med</w:t>
      </w:r>
      <w:r w:rsidRPr="00C654BE">
        <w:t xml:space="preserve"> store boliger</w:t>
      </w:r>
      <w:r w:rsidR="00254906">
        <w:t>,</w:t>
      </w:r>
      <w:r w:rsidRPr="00C654BE">
        <w:t xml:space="preserve"> der også kan rumme ældre ægtepar</w:t>
      </w:r>
      <w:r>
        <w:t>.</w:t>
      </w:r>
      <w:r w:rsidRPr="00C654BE">
        <w:t xml:space="preserve"> Centeret har </w:t>
      </w:r>
      <w:r w:rsidR="00AB4829">
        <w:t xml:space="preserve">egne træningsfaciliteter og </w:t>
      </w:r>
      <w:r w:rsidRPr="00C654BE">
        <w:t>eget køkken, hvor der laves mad</w:t>
      </w:r>
      <w:r w:rsidR="00AB4829">
        <w:t>.</w:t>
      </w:r>
      <w:r w:rsidRPr="00C654BE">
        <w:t xml:space="preserve"> Der er </w:t>
      </w:r>
      <w:r w:rsidR="00AB4829">
        <w:t>gode</w:t>
      </w:r>
      <w:r w:rsidRPr="00C654BE">
        <w:t xml:space="preserve"> lokaler</w:t>
      </w:r>
      <w:r w:rsidR="003D529E">
        <w:t>,</w:t>
      </w:r>
      <w:r w:rsidRPr="00C654BE">
        <w:t xml:space="preserve"> </w:t>
      </w:r>
      <w:r w:rsidR="003D529E">
        <w:t>som både beboere og øvrige borgere nyder godt af</w:t>
      </w:r>
      <w:r w:rsidRPr="00C654BE">
        <w:t xml:space="preserve">. Centeret er beliggende midt i byen, hvilket </w:t>
      </w:r>
      <w:r w:rsidR="003D529E">
        <w:t>gør det til et ideelt samlingssted</w:t>
      </w:r>
      <w:r>
        <w:t>. Cent</w:t>
      </w:r>
      <w:r w:rsidR="00760F37">
        <w:t>e</w:t>
      </w:r>
      <w:r>
        <w:t>ret har et godt omdømme i byen og efterspørges også af beboere udenfor Spentrup</w:t>
      </w:r>
      <w:r w:rsidR="003D529E">
        <w:t>, hvilket afspejler sig i, at der ikke er nogle tomme plejeboliger.</w:t>
      </w:r>
    </w:p>
    <w:p w:rsidR="00C654BE" w:rsidRDefault="00C654BE">
      <w:r>
        <w:t xml:space="preserve">Det er derfor vores klare opfattelse, at Spentrup Ældrecenter bør bevares </w:t>
      </w:r>
      <w:r w:rsidR="00AB4829">
        <w:t xml:space="preserve">primært for at sikre et stigende antal ældre muligheden for at blive boende tæt på familie og venner. Sekundært er og vil Spentrup Ældrecenter være en væsentlig faktor </w:t>
      </w:r>
      <w:r w:rsidR="003D529E">
        <w:t xml:space="preserve">dels som samlingssted i byen og dels </w:t>
      </w:r>
      <w:r w:rsidR="00AB4829">
        <w:t xml:space="preserve">i den videre udvikling af Spentrup </w:t>
      </w:r>
      <w:r w:rsidR="00760F37">
        <w:t>b</w:t>
      </w:r>
      <w:r w:rsidR="00AB4829">
        <w:t xml:space="preserve">y </w:t>
      </w:r>
      <w:r w:rsidR="00760F37">
        <w:t>for</w:t>
      </w:r>
      <w:r w:rsidR="00AB4829">
        <w:t xml:space="preserve"> </w:t>
      </w:r>
      <w:r w:rsidR="003D529E">
        <w:t xml:space="preserve">at </w:t>
      </w:r>
      <w:r w:rsidR="00AB4829">
        <w:t>sikre bosætning og udvikling.</w:t>
      </w:r>
    </w:p>
    <w:p w:rsidR="00AB4829" w:rsidRDefault="00AB4829">
      <w:r>
        <w:t>På vegne af:</w:t>
      </w:r>
    </w:p>
    <w:p w:rsidR="006D3936" w:rsidRDefault="00AB4829">
      <w:r>
        <w:t>”Borgergruppe til bevarelse af Spentrup Ældrecenter”</w:t>
      </w:r>
      <w:r>
        <w:br/>
        <w:t>Lokalrådet for Spentrupområdet</w:t>
      </w:r>
      <w:r>
        <w:tab/>
      </w:r>
      <w:r>
        <w:tab/>
      </w:r>
      <w:r w:rsidR="006D3936">
        <w:t>Spentrup Super Brugs</w:t>
      </w:r>
      <w:r>
        <w:tab/>
      </w:r>
    </w:p>
    <w:p w:rsidR="00173A8F" w:rsidRDefault="00AB4829">
      <w:r>
        <w:t>Spentrup Tandlægehus</w:t>
      </w:r>
      <w:r>
        <w:br/>
        <w:t>Spentrup Menighedsråd</w:t>
      </w:r>
      <w:r>
        <w:tab/>
      </w:r>
      <w:r w:rsidR="003053BA">
        <w:tab/>
      </w:r>
      <w:r w:rsidR="003053BA">
        <w:tab/>
      </w:r>
      <w:bookmarkStart w:id="0" w:name="_GoBack"/>
      <w:bookmarkEnd w:id="0"/>
      <w:r w:rsidR="003053BA">
        <w:t>Spentrup Husmoderforening</w:t>
      </w:r>
      <w:r>
        <w:tab/>
      </w:r>
      <w:r>
        <w:tab/>
      </w:r>
    </w:p>
    <w:p w:rsidR="00AB4829" w:rsidRDefault="00AB4829">
      <w:pPr>
        <w:rPr>
          <w:b/>
          <w:bCs/>
          <w:sz w:val="36"/>
          <w:szCs w:val="36"/>
        </w:rPr>
        <w:sectPr w:rsidR="00AB4829" w:rsidSect="003D529E">
          <w:pgSz w:w="11906" w:h="16838"/>
          <w:pgMar w:top="1361" w:right="1134" w:bottom="1361" w:left="1134" w:header="709" w:footer="709" w:gutter="0"/>
          <w:cols w:space="708"/>
          <w:docGrid w:linePitch="360"/>
        </w:sectPr>
      </w:pPr>
    </w:p>
    <w:p w:rsidR="00AB4829" w:rsidRDefault="00AB4829">
      <w:pPr>
        <w:rPr>
          <w:b/>
          <w:bCs/>
          <w:sz w:val="28"/>
          <w:szCs w:val="28"/>
        </w:rPr>
      </w:pPr>
      <w:r w:rsidRPr="00AB4829">
        <w:rPr>
          <w:b/>
          <w:bCs/>
          <w:sz w:val="36"/>
          <w:szCs w:val="36"/>
        </w:rPr>
        <w:lastRenderedPageBreak/>
        <w:t>Bilag 1:</w:t>
      </w:r>
      <w:r>
        <w:t xml:space="preserve"> </w:t>
      </w:r>
      <w:r>
        <w:rPr>
          <w:b/>
          <w:bCs/>
          <w:sz w:val="28"/>
          <w:szCs w:val="28"/>
        </w:rPr>
        <w:br/>
      </w:r>
      <w:r w:rsidRPr="00173A8F">
        <w:rPr>
          <w:b/>
          <w:bCs/>
          <w:sz w:val="28"/>
          <w:szCs w:val="28"/>
        </w:rPr>
        <w:t>Høringssvar omhandlende forslag til ny ældreboligplan</w:t>
      </w:r>
      <w:r w:rsidR="00254906">
        <w:rPr>
          <w:b/>
          <w:bCs/>
          <w:sz w:val="28"/>
          <w:szCs w:val="28"/>
        </w:rPr>
        <w:t xml:space="preserve"> - B</w:t>
      </w:r>
      <w:r w:rsidR="00254906" w:rsidRPr="00173A8F">
        <w:rPr>
          <w:b/>
          <w:bCs/>
          <w:sz w:val="28"/>
          <w:szCs w:val="28"/>
        </w:rPr>
        <w:t>evarelse af Spentrup Ældrecenter</w:t>
      </w:r>
    </w:p>
    <w:p w:rsidR="00AB4829" w:rsidRDefault="00AB4829">
      <w:pPr>
        <w:rPr>
          <w:b/>
          <w:bCs/>
          <w:sz w:val="28"/>
          <w:szCs w:val="28"/>
        </w:rPr>
      </w:pPr>
      <w:r w:rsidRPr="00173A8F">
        <w:rPr>
          <w:b/>
          <w:bCs/>
          <w:sz w:val="28"/>
          <w:szCs w:val="28"/>
        </w:rPr>
        <w:t xml:space="preserve"> </w:t>
      </w:r>
      <w:r w:rsidRPr="00FA2B1F">
        <w:rPr>
          <w:rFonts w:ascii="Arial" w:eastAsia="Times New Roman" w:hAnsi="Arial" w:cs="Arial"/>
          <w:noProof/>
          <w:color w:val="222222"/>
          <w:sz w:val="24"/>
          <w:szCs w:val="24"/>
          <w:lang w:eastAsia="da-DK"/>
        </w:rPr>
        <w:drawing>
          <wp:inline distT="0" distB="0" distL="0" distR="0" wp14:anchorId="6B1BC95F" wp14:editId="240936C7">
            <wp:extent cx="8305800" cy="2505075"/>
            <wp:effectExtent l="0" t="0" r="0" b="9525"/>
            <wp:docPr id="1" name="Diagram 1">
              <a:extLst xmlns:a="http://schemas.openxmlformats.org/drawingml/2006/main">
                <a:ext uri="{FF2B5EF4-FFF2-40B4-BE49-F238E27FC236}">
                  <a16:creationId xmlns:a16="http://schemas.microsoft.com/office/drawing/2014/main" id="{39C11205-30AA-448B-85B6-4AAC123FAD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73A8F" w:rsidRDefault="00AB4829">
      <w:r w:rsidRPr="00173A8F">
        <w:rPr>
          <w:b/>
          <w:bCs/>
          <w:sz w:val="28"/>
          <w:szCs w:val="28"/>
        </w:rPr>
        <w:t xml:space="preserve"> </w:t>
      </w:r>
      <w:r w:rsidRPr="00FA2B1F">
        <w:rPr>
          <w:rFonts w:ascii="Arial" w:eastAsia="Times New Roman" w:hAnsi="Arial" w:cs="Arial"/>
          <w:noProof/>
          <w:color w:val="222222"/>
          <w:sz w:val="24"/>
          <w:szCs w:val="24"/>
          <w:lang w:eastAsia="da-DK"/>
        </w:rPr>
        <w:drawing>
          <wp:inline distT="0" distB="0" distL="0" distR="0" wp14:anchorId="45C75B6C" wp14:editId="0C0B08F1">
            <wp:extent cx="8324850" cy="2552700"/>
            <wp:effectExtent l="0" t="0" r="0" b="0"/>
            <wp:docPr id="2" name="Diagram 2">
              <a:extLst xmlns:a="http://schemas.openxmlformats.org/drawingml/2006/main">
                <a:ext uri="{FF2B5EF4-FFF2-40B4-BE49-F238E27FC236}">
                  <a16:creationId xmlns:a16="http://schemas.microsoft.com/office/drawing/2014/main" id="{740CD5A9-1685-47A1-9506-5BB2F43751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sectPr w:rsidR="00173A8F" w:rsidSect="00AB4829">
      <w:pgSz w:w="16838" w:h="11906" w:orient="landscape"/>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2FD" w:rsidRDefault="00B302FD" w:rsidP="005341BA">
      <w:pPr>
        <w:spacing w:after="0" w:line="240" w:lineRule="auto"/>
      </w:pPr>
      <w:r>
        <w:separator/>
      </w:r>
    </w:p>
  </w:endnote>
  <w:endnote w:type="continuationSeparator" w:id="0">
    <w:p w:rsidR="00B302FD" w:rsidRDefault="00B302FD" w:rsidP="0053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2FD" w:rsidRDefault="00B302FD" w:rsidP="005341BA">
      <w:pPr>
        <w:spacing w:after="0" w:line="240" w:lineRule="auto"/>
      </w:pPr>
      <w:r>
        <w:separator/>
      </w:r>
    </w:p>
  </w:footnote>
  <w:footnote w:type="continuationSeparator" w:id="0">
    <w:p w:rsidR="00B302FD" w:rsidRDefault="00B302FD" w:rsidP="005341BA">
      <w:pPr>
        <w:spacing w:after="0" w:line="240" w:lineRule="auto"/>
      </w:pPr>
      <w:r>
        <w:continuationSeparator/>
      </w:r>
    </w:p>
  </w:footnote>
  <w:footnote w:id="1">
    <w:p w:rsidR="005341BA" w:rsidRDefault="005341BA">
      <w:pPr>
        <w:pStyle w:val="Fodnotetekst"/>
      </w:pPr>
      <w:r>
        <w:rPr>
          <w:rStyle w:val="Fodnotehenvisning"/>
        </w:rPr>
        <w:footnoteRef/>
      </w:r>
      <w:r>
        <w:t xml:space="preserve"> ”Ensomhed og svage relationer blandt ældre”, Tal fra den nationale sundhedsprofil 2017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A8F"/>
    <w:rsid w:val="000F2BC2"/>
    <w:rsid w:val="00173A8F"/>
    <w:rsid w:val="00254906"/>
    <w:rsid w:val="003053BA"/>
    <w:rsid w:val="003D529E"/>
    <w:rsid w:val="0046349C"/>
    <w:rsid w:val="005341BA"/>
    <w:rsid w:val="006D3936"/>
    <w:rsid w:val="00760F37"/>
    <w:rsid w:val="00823040"/>
    <w:rsid w:val="00862281"/>
    <w:rsid w:val="009C5DB0"/>
    <w:rsid w:val="00A12C75"/>
    <w:rsid w:val="00AB4829"/>
    <w:rsid w:val="00B302FD"/>
    <w:rsid w:val="00C654BE"/>
    <w:rsid w:val="00C975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B28FD"/>
  <w15:chartTrackingRefBased/>
  <w15:docId w15:val="{B53EDC7C-544D-45B2-9C25-F4F70326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5341BA"/>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5341BA"/>
    <w:rPr>
      <w:sz w:val="20"/>
      <w:szCs w:val="20"/>
    </w:rPr>
  </w:style>
  <w:style w:type="character" w:styleId="Fodnotehenvisning">
    <w:name w:val="footnote reference"/>
    <w:basedOn w:val="Standardskrifttypeiafsnit"/>
    <w:uiPriority w:val="99"/>
    <w:semiHidden/>
    <w:unhideWhenUsed/>
    <w:rsid w:val="005341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baseline="0">
                <a:solidFill>
                  <a:schemeClr val="tx1">
                    <a:lumMod val="65000"/>
                    <a:lumOff val="35000"/>
                  </a:schemeClr>
                </a:solidFill>
                <a:latin typeface="+mn-lt"/>
                <a:ea typeface="+mn-ea"/>
                <a:cs typeface="+mn-cs"/>
              </a:defRPr>
            </a:pPr>
            <a:r>
              <a:rPr lang="en-US" dirty="0" err="1"/>
              <a:t>Folketal</a:t>
            </a:r>
            <a:r>
              <a:rPr lang="en-US" dirty="0"/>
              <a:t> 1/1-2008 </a:t>
            </a:r>
            <a:r>
              <a:rPr lang="en-US" dirty="0" err="1"/>
              <a:t>Spentrup</a:t>
            </a:r>
            <a:r>
              <a:rPr lang="en-US" dirty="0"/>
              <a:t> </a:t>
            </a:r>
            <a:r>
              <a:rPr lang="en-US" dirty="0" err="1"/>
              <a:t>Sogn</a:t>
            </a:r>
            <a:r>
              <a:rPr lang="en-US" dirty="0"/>
              <a:t>  </a:t>
            </a:r>
          </a:p>
        </c:rich>
      </c:tx>
      <c:layout>
        <c:manualLayout>
          <c:xMode val="edge"/>
          <c:yMode val="edge"/>
          <c:x val="0.23067278287461776"/>
          <c:y val="3.5487959442332066E-2"/>
        </c:manualLayout>
      </c:layout>
      <c:overlay val="0"/>
      <c:spPr>
        <a:noFill/>
        <a:ln>
          <a:noFill/>
        </a:ln>
        <a:effectLst/>
      </c:spPr>
      <c:txPr>
        <a:bodyPr rot="0" spcFirstLastPara="1" vertOverflow="ellipsis" vert="horz" wrap="square" anchor="ctr" anchorCtr="1"/>
        <a:lstStyle/>
        <a:p>
          <a:pPr>
            <a:defRPr sz="2128" b="1" i="0" u="none" strike="noStrike" kern="120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'KM5'!$B$4:$B$26</c:f>
              <c:strCache>
                <c:ptCount val="23"/>
                <c:pt idx="0">
                  <c:v>0-4 år</c:v>
                </c:pt>
                <c:pt idx="1">
                  <c:v>5-9 år</c:v>
                </c:pt>
                <c:pt idx="2">
                  <c:v>10-14 år</c:v>
                </c:pt>
                <c:pt idx="3">
                  <c:v>15-19 år</c:v>
                </c:pt>
                <c:pt idx="4">
                  <c:v>20-24 år</c:v>
                </c:pt>
                <c:pt idx="5">
                  <c:v>25-29 år</c:v>
                </c:pt>
                <c:pt idx="6">
                  <c:v>30-34 år</c:v>
                </c:pt>
                <c:pt idx="7">
                  <c:v>35-39 år</c:v>
                </c:pt>
                <c:pt idx="8">
                  <c:v>40-44 år</c:v>
                </c:pt>
                <c:pt idx="9">
                  <c:v>45-49 år</c:v>
                </c:pt>
                <c:pt idx="10">
                  <c:v>50-54 år</c:v>
                </c:pt>
                <c:pt idx="11">
                  <c:v>55-59 år</c:v>
                </c:pt>
                <c:pt idx="12">
                  <c:v>60-64 år</c:v>
                </c:pt>
                <c:pt idx="13">
                  <c:v>65-69 år</c:v>
                </c:pt>
                <c:pt idx="14">
                  <c:v>70-74 år</c:v>
                </c:pt>
                <c:pt idx="15">
                  <c:v>75-79 år</c:v>
                </c:pt>
                <c:pt idx="16">
                  <c:v>80-84 år</c:v>
                </c:pt>
                <c:pt idx="17">
                  <c:v>85-89 år</c:v>
                </c:pt>
                <c:pt idx="18">
                  <c:v>90-94 år</c:v>
                </c:pt>
                <c:pt idx="19">
                  <c:v>95-99 år</c:v>
                </c:pt>
                <c:pt idx="20">
                  <c:v>100-104 år</c:v>
                </c:pt>
                <c:pt idx="21">
                  <c:v>105-109 år</c:v>
                </c:pt>
                <c:pt idx="22">
                  <c:v>110 år +</c:v>
                </c:pt>
              </c:strCache>
            </c:strRef>
          </c:cat>
          <c:val>
            <c:numRef>
              <c:f>'KM5'!$C$4:$C$26</c:f>
              <c:numCache>
                <c:formatCode>General</c:formatCode>
                <c:ptCount val="23"/>
                <c:pt idx="0">
                  <c:v>193</c:v>
                </c:pt>
                <c:pt idx="1">
                  <c:v>215</c:v>
                </c:pt>
                <c:pt idx="2">
                  <c:v>237</c:v>
                </c:pt>
                <c:pt idx="3">
                  <c:v>171</c:v>
                </c:pt>
                <c:pt idx="4">
                  <c:v>59</c:v>
                </c:pt>
                <c:pt idx="5">
                  <c:v>124</c:v>
                </c:pt>
                <c:pt idx="6">
                  <c:v>180</c:v>
                </c:pt>
                <c:pt idx="7">
                  <c:v>244</c:v>
                </c:pt>
                <c:pt idx="8">
                  <c:v>222</c:v>
                </c:pt>
                <c:pt idx="9">
                  <c:v>161</c:v>
                </c:pt>
                <c:pt idx="10">
                  <c:v>173</c:v>
                </c:pt>
                <c:pt idx="11">
                  <c:v>196</c:v>
                </c:pt>
                <c:pt idx="12">
                  <c:v>225</c:v>
                </c:pt>
                <c:pt idx="13">
                  <c:v>132</c:v>
                </c:pt>
                <c:pt idx="14">
                  <c:v>91</c:v>
                </c:pt>
                <c:pt idx="15">
                  <c:v>58</c:v>
                </c:pt>
                <c:pt idx="16">
                  <c:v>35</c:v>
                </c:pt>
                <c:pt idx="17">
                  <c:v>16</c:v>
                </c:pt>
                <c:pt idx="18">
                  <c:v>9</c:v>
                </c:pt>
                <c:pt idx="19">
                  <c:v>3</c:v>
                </c:pt>
                <c:pt idx="20">
                  <c:v>0</c:v>
                </c:pt>
                <c:pt idx="21">
                  <c:v>0</c:v>
                </c:pt>
                <c:pt idx="22">
                  <c:v>0</c:v>
                </c:pt>
              </c:numCache>
            </c:numRef>
          </c:val>
          <c:extLst>
            <c:ext xmlns:c16="http://schemas.microsoft.com/office/drawing/2014/chart" uri="{C3380CC4-5D6E-409C-BE32-E72D297353CC}">
              <c16:uniqueId val="{00000000-E241-4195-890C-411CE7F74FB0}"/>
            </c:ext>
          </c:extLst>
        </c:ser>
        <c:dLbls>
          <c:showLegendKey val="0"/>
          <c:showVal val="0"/>
          <c:showCatName val="0"/>
          <c:showSerName val="0"/>
          <c:showPercent val="0"/>
          <c:showBubbleSize val="0"/>
        </c:dLbls>
        <c:gapWidth val="100"/>
        <c:overlap val="-24"/>
        <c:axId val="213822448"/>
        <c:axId val="213825168"/>
      </c:barChart>
      <c:catAx>
        <c:axId val="2138224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da-DK"/>
          </a:p>
        </c:txPr>
        <c:crossAx val="213825168"/>
        <c:crosses val="autoZero"/>
        <c:auto val="1"/>
        <c:lblAlgn val="ctr"/>
        <c:lblOffset val="100"/>
        <c:noMultiLvlLbl val="0"/>
      </c:catAx>
      <c:valAx>
        <c:axId val="213825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da-DK"/>
          </a:p>
        </c:txPr>
        <c:crossAx val="213822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baseline="0">
                <a:solidFill>
                  <a:schemeClr val="tx1">
                    <a:lumMod val="65000"/>
                    <a:lumOff val="35000"/>
                  </a:schemeClr>
                </a:solidFill>
                <a:latin typeface="+mn-lt"/>
                <a:ea typeface="+mn-ea"/>
                <a:cs typeface="+mn-cs"/>
              </a:defRPr>
            </a:pPr>
            <a:r>
              <a:rPr lang="da-DK" dirty="0"/>
              <a:t>Folketal 1/1-2018 i Spentrup Sogn</a:t>
            </a:r>
          </a:p>
        </c:rich>
      </c:tx>
      <c:layout>
        <c:manualLayout>
          <c:xMode val="edge"/>
          <c:yMode val="edge"/>
          <c:x val="0.22226118188315711"/>
          <c:y val="1.0621302934148159E-2"/>
        </c:manualLayout>
      </c:layout>
      <c:overlay val="0"/>
      <c:spPr>
        <a:noFill/>
        <a:ln>
          <a:noFill/>
        </a:ln>
        <a:effectLst/>
      </c:spPr>
      <c:txPr>
        <a:bodyPr rot="0" spcFirstLastPara="1" vertOverflow="ellipsis" vert="horz" wrap="square" anchor="ctr" anchorCtr="1"/>
        <a:lstStyle/>
        <a:p>
          <a:pPr>
            <a:defRPr sz="2128" b="1" i="0" u="none" strike="noStrike" kern="120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'KM5'!$C$1:$C$3</c:f>
              <c:strCache>
                <c:ptCount val="3"/>
                <c:pt idx="2">
                  <c:v>2018</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elete val="1"/>
          </c:dLbls>
          <c:cat>
            <c:strRef>
              <c:f>'KM5'!$B$4:$B$26</c:f>
              <c:strCache>
                <c:ptCount val="23"/>
                <c:pt idx="0">
                  <c:v>0-4 år</c:v>
                </c:pt>
                <c:pt idx="1">
                  <c:v>5-9 år</c:v>
                </c:pt>
                <c:pt idx="2">
                  <c:v>10-14 år</c:v>
                </c:pt>
                <c:pt idx="3">
                  <c:v>15-19 år</c:v>
                </c:pt>
                <c:pt idx="4">
                  <c:v>20-24 år</c:v>
                </c:pt>
                <c:pt idx="5">
                  <c:v>25-29 år</c:v>
                </c:pt>
                <c:pt idx="6">
                  <c:v>30-34 år</c:v>
                </c:pt>
                <c:pt idx="7">
                  <c:v>35-39 år</c:v>
                </c:pt>
                <c:pt idx="8">
                  <c:v>40-44 år</c:v>
                </c:pt>
                <c:pt idx="9">
                  <c:v>45-49 år</c:v>
                </c:pt>
                <c:pt idx="10">
                  <c:v>50-54 år</c:v>
                </c:pt>
                <c:pt idx="11">
                  <c:v>55-59 år</c:v>
                </c:pt>
                <c:pt idx="12">
                  <c:v>60-64 år</c:v>
                </c:pt>
                <c:pt idx="13">
                  <c:v>65-69 år</c:v>
                </c:pt>
                <c:pt idx="14">
                  <c:v>70-74 år</c:v>
                </c:pt>
                <c:pt idx="15">
                  <c:v>75-79 år</c:v>
                </c:pt>
                <c:pt idx="16">
                  <c:v>80-84 år</c:v>
                </c:pt>
                <c:pt idx="17">
                  <c:v>85-89 år</c:v>
                </c:pt>
                <c:pt idx="18">
                  <c:v>90-94 år</c:v>
                </c:pt>
                <c:pt idx="19">
                  <c:v>95-99 år</c:v>
                </c:pt>
                <c:pt idx="20">
                  <c:v>100-104 år</c:v>
                </c:pt>
                <c:pt idx="21">
                  <c:v>105-109 år</c:v>
                </c:pt>
                <c:pt idx="22">
                  <c:v>110 år +</c:v>
                </c:pt>
              </c:strCache>
            </c:strRef>
          </c:cat>
          <c:val>
            <c:numRef>
              <c:f>'KM5'!$C$4:$C$26</c:f>
              <c:numCache>
                <c:formatCode>General</c:formatCode>
                <c:ptCount val="23"/>
                <c:pt idx="0">
                  <c:v>128</c:v>
                </c:pt>
                <c:pt idx="1">
                  <c:v>206</c:v>
                </c:pt>
                <c:pt idx="2">
                  <c:v>204</c:v>
                </c:pt>
                <c:pt idx="3">
                  <c:v>198</c:v>
                </c:pt>
                <c:pt idx="4">
                  <c:v>102</c:v>
                </c:pt>
                <c:pt idx="5">
                  <c:v>75</c:v>
                </c:pt>
                <c:pt idx="6">
                  <c:v>124</c:v>
                </c:pt>
                <c:pt idx="7">
                  <c:v>175</c:v>
                </c:pt>
                <c:pt idx="8">
                  <c:v>197</c:v>
                </c:pt>
                <c:pt idx="9">
                  <c:v>228</c:v>
                </c:pt>
                <c:pt idx="10">
                  <c:v>211</c:v>
                </c:pt>
                <c:pt idx="11">
                  <c:v>151</c:v>
                </c:pt>
                <c:pt idx="12">
                  <c:v>161</c:v>
                </c:pt>
                <c:pt idx="13">
                  <c:v>186</c:v>
                </c:pt>
                <c:pt idx="14">
                  <c:v>191</c:v>
                </c:pt>
                <c:pt idx="15">
                  <c:v>96</c:v>
                </c:pt>
                <c:pt idx="16">
                  <c:v>59</c:v>
                </c:pt>
                <c:pt idx="17">
                  <c:v>26</c:v>
                </c:pt>
                <c:pt idx="18">
                  <c:v>11</c:v>
                </c:pt>
                <c:pt idx="19">
                  <c:v>2</c:v>
                </c:pt>
                <c:pt idx="20">
                  <c:v>0</c:v>
                </c:pt>
                <c:pt idx="21">
                  <c:v>0</c:v>
                </c:pt>
                <c:pt idx="22">
                  <c:v>0</c:v>
                </c:pt>
              </c:numCache>
            </c:numRef>
          </c:val>
          <c:extLst>
            <c:ext xmlns:c16="http://schemas.microsoft.com/office/drawing/2014/chart" uri="{C3380CC4-5D6E-409C-BE32-E72D297353CC}">
              <c16:uniqueId val="{00000000-720C-4609-B20A-C3DA6452B3C1}"/>
            </c:ext>
          </c:extLst>
        </c:ser>
        <c:dLbls>
          <c:dLblPos val="outEnd"/>
          <c:showLegendKey val="0"/>
          <c:showVal val="1"/>
          <c:showCatName val="0"/>
          <c:showSerName val="0"/>
          <c:showPercent val="0"/>
          <c:showBubbleSize val="0"/>
        </c:dLbls>
        <c:gapWidth val="100"/>
        <c:overlap val="-24"/>
        <c:axId val="2082891728"/>
        <c:axId val="2082894448"/>
      </c:barChart>
      <c:catAx>
        <c:axId val="20828917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da-DK"/>
          </a:p>
        </c:txPr>
        <c:crossAx val="2082894448"/>
        <c:crosses val="autoZero"/>
        <c:auto val="1"/>
        <c:lblAlgn val="ctr"/>
        <c:lblOffset val="100"/>
        <c:noMultiLvlLbl val="0"/>
      </c:catAx>
      <c:valAx>
        <c:axId val="2082894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da-DK"/>
          </a:p>
        </c:txPr>
        <c:crossAx val="2082891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lt1"/>
    </cs:fontRef>
  </cs:wall>
</cs:chartStyle>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2963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Rousing</dc:creator>
  <cp:keywords/>
  <dc:description/>
  <cp:lastModifiedBy>Mette Schell Andersen</cp:lastModifiedBy>
  <cp:revision>4</cp:revision>
  <cp:lastPrinted>2019-10-12T10:34:00Z</cp:lastPrinted>
  <dcterms:created xsi:type="dcterms:W3CDTF">2019-10-16T08:43:00Z</dcterms:created>
  <dcterms:modified xsi:type="dcterms:W3CDTF">2019-10-17T11:56:00Z</dcterms:modified>
</cp:coreProperties>
</file>